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app.xml" Type="http://schemas.openxmlformats.org/officeDocument/2006/relationships/extended-properties"/><Relationship Id="rId3" Target="docProps/core.xml" Type="http://schemas.openxmlformats.org/package/2006/relationships/metadata/core-properties"/></Relationships>
</file>

<file path=word/document.xml><?xml version="1.0" encoding="utf-8"?>
<w:document xmlns:w="http://schemas.openxmlformats.org/wordprocessingml/2006/main" xmlns:r="http://schemas.openxmlformats.org/officeDocument/2006/relationships">
  <w:body>
    <w:p>
      <w:pPr/>
      <w:fldSimple w:instr="TOC \o &quot;1-6&quot; \h \z \u" w:dirty="true"/>
    </w:p>
    <w:p>
      <w:pPr>
        <w:pStyle w:val="Heading2"/>
      </w:pPr>
      <w:r>
        <w:t>Chapter 7</w:t>
      </w:r>
      <w:r>
        <w:t> </w:t>
      </w:r>
      <w:r>
        <w:t>LICENSES, PERMITS AND BUSINESS REGULATIONS</w:t>
      </w:r>
      <w:r>
        <w:rPr>
          <w:rStyle w:val="FootnoteReference"/>
        </w:rPr>
        <w:footnoteReference w:id="1"/>
      </w:r>
      <w:r/>
    </w:p>
    <w:p>
      <w:pPr>
        <w:pStyle w:val="Heading3"/>
      </w:pPr>
      <w:r>
        <w:t>ARTICLE I.</w:t>
      </w:r>
      <w:r>
        <w:t> </w:t>
      </w:r>
      <w:r>
        <w:t>IN GENERAL</w:t>
      </w:r>
    </w:p>
    <w:p>
      <w:pPr>
        <w:pStyle w:val="Section"/>
      </w:pPr>
      <w:r>
        <w:t>Sec. 7-1.</w:t>
      </w:r>
      <w:r>
        <w:t> </w:t>
      </w:r>
      <w:r>
        <w:t>License and permit applications.</w:t>
      </w:r>
    </w:p>
    <w:p>
      <w:pPr>
        <w:pStyle w:val="Paragraph1"/>
      </w:pPr>
      <w:r>
        <w:rPr>
          <w:rStyle w:val="Paragraph1"/>
        </w:rPr>
        <w:t xml:space="preserve">Any person required by the provisions of this chapter to obtain a license from the town to engage in the operation, conduct, or carrying on of any trade, profession, business, or privilege, or a permit to commence, proceed, or continue to perform any act, shall make a written application to the town clerk upon forms provided by the town clerk and shall state facts as may be required. Applications shall be accompanied by the required fee, which will be returned if the license or permit is not issued. </w:t>
      </w:r>
    </w:p>
    <w:p>
      <w:pPr>
        <w:pStyle w:val="HistoryNote"/>
      </w:pPr>
      <w:r>
        <w:rPr>
          <w:rStyle w:val="HistoryNote"/>
        </w:rPr>
        <w:t>(Ord. No. C2015-14, 8-13-15)</w:t>
      </w:r>
    </w:p>
    <w:p>
      <w:pPr>
        <w:pStyle w:val="Section"/>
      </w:pPr>
      <w:r>
        <w:t>Sec. 7-2.</w:t>
      </w:r>
      <w:r>
        <w:t> </w:t>
      </w:r>
      <w:r>
        <w:t>Licenses and permits issued by town clerk; exceptions.</w:t>
      </w:r>
    </w:p>
    <w:p>
      <w:pPr>
        <w:pStyle w:val="List1"/>
      </w:pPr>
      <w:r>
        <w:t>(a)</w:t>
        <w:tab/>
      </w:r>
      <w:r>
        <w:t xml:space="preserve">As agent of the town council, the town clerk is authorized and directed to receive all applications required by this chapter unless otherwise specified. All applications for any license or permit shall be placed on the agenda for action by the town council unless otherwise specified. Initial applications for liquor licenses, bowling alley, poolroom, and shooting gallery licenses, victualer's licenses, innkeeper, lodging house, tavern keeper, and privately owned campground licenses, special amusement permits, carnival, circus, and exhibition licenses, motion picture and theater licenses, pawnbroker's licenses, and taxicab licenses require a public hearing. Renewals for such licenses shall be placed on the agenda for action by the town council. Initial and renewal applications for junkyards and automobile graveyards require a public hearing per Maine State law. All other permits and licenses may be issued by the town clerk subject to limitations on his/her authority. Applications requiring a public hearing shall be published in a newspaper of general, local circulation no less than seven (7) days prior to the date of the hearing on which the application is to be acted upon. </w:t>
      </w:r>
    </w:p>
    <w:p>
      <w:pPr>
        <w:pStyle w:val="List1"/>
      </w:pPr>
      <w:r>
        <w:t>(b)</w:t>
        <w:tab/>
      </w:r>
      <w:r>
        <w:t xml:space="preserve">Licenses and permits shall not apply to events conducted by local governmental or school authorities, local nonprofit clubs or organizations, local fraternal organizations, or local religious organizations. No carnival or circus, however, shall be conducted without the approval of the town council. </w:t>
      </w:r>
    </w:p>
    <w:p>
      <w:pPr>
        <w:pStyle w:val="HistoryNote"/>
      </w:pPr>
      <w:r>
        <w:rPr>
          <w:rStyle w:val="HistoryNote"/>
        </w:rPr>
        <w:t>(Ord. No. C2015-14, 8-13-15)</w:t>
      </w:r>
    </w:p>
    <w:p>
      <w:pPr>
        <w:pStyle w:val="Section"/>
      </w:pPr>
      <w:r>
        <w:t>Sec. 7-3.</w:t>
      </w:r>
      <w:r>
        <w:t> </w:t>
      </w:r>
      <w:r>
        <w:t>Town clerk; authority limitations.</w:t>
      </w:r>
    </w:p>
    <w:p>
      <w:pPr>
        <w:pStyle w:val="Paragraph1"/>
      </w:pPr>
      <w:r>
        <w:rPr>
          <w:rStyle w:val="Paragraph1"/>
        </w:rPr>
        <w:t xml:space="preserve">The authority of the town clerk to issue licenses and permits is hereby limited as follows: </w:t>
      </w:r>
    </w:p>
    <w:p>
      <w:pPr>
        <w:pStyle w:val="List2"/>
      </w:pPr>
      <w:r>
        <w:t>(1)</w:t>
        <w:tab/>
      </w:r>
      <w:r>
        <w:rPr>
          <w:i w:val="true"/>
        </w:rPr>
        <w:t>Agent of council.</w:t>
      </w:r>
      <w:r>
        <w:t xml:space="preserve"> The town clerk acts as agent of the town council. </w:t>
      </w:r>
    </w:p>
    <w:p>
      <w:pPr>
        <w:pStyle w:val="List2"/>
      </w:pPr>
      <w:r>
        <w:t>(2)</w:t>
        <w:tab/>
      </w:r>
      <w:r>
        <w:rPr>
          <w:i w:val="true"/>
        </w:rPr>
        <w:t>Town council reservation.</w:t>
      </w:r>
      <w:r>
        <w:t xml:space="preserve"> In accordance with Maine State law, the town council, acting as the licensing authority of the town, authorizes and directs the town clerk as its agent to issue all licenses and permits, after public hearing where necessary. The applicant for such licenses or permits shall satisfy the town clerk that all of the requirements of the statutes or ordinances affecting such application and all recommendations required by such statutes and ordinances from the department heads or their agents are returned to the town clerk with a favorable recommendation for the issuance of such permits or licenses. Where the required recommendations are not favorable or where all of the requirements of the statutes or ordinances have not been met, the town clerk shall deny the application, which action may be appealed to the town council within thirty (30) days of the denial. </w:t>
      </w:r>
    </w:p>
    <w:p>
      <w:pPr>
        <w:pStyle w:val="List3"/>
      </w:pPr>
      <w:r>
        <w:t>a.</w:t>
        <w:tab/>
      </w:r>
      <w:r>
        <w:t xml:space="preserve">The town clerk shall, upon making a denial, immediately notify the town council of the denial. </w:t>
      </w:r>
    </w:p>
    <w:p>
      <w:pPr>
        <w:pStyle w:val="List3"/>
      </w:pPr>
      <w:r>
        <w:t>b.</w:t>
        <w:tab/>
      </w:r>
      <w:r>
        <w:t xml:space="preserve">The applicant may apply in writing to the town clerk for a hearing upon the denial as herein provided for. Upon receipt of such request, the town council shall set the matter for hearing before it at a date not more than thirty (30) days from the date of the receipt of the request for appeal. </w:t>
      </w:r>
    </w:p>
    <w:p>
      <w:pPr>
        <w:pStyle w:val="List3"/>
      </w:pPr>
      <w:r>
        <w:t>c.</w:t>
        <w:tab/>
      </w:r>
      <w:r>
        <w:t xml:space="preserve">The applicant at the hearing provided for herein shall have the opportunity to be represented by counsel and present evidence in his behalf. The town clerk or any agent of the town shall have a like opportunity to present evidence in support of the town's position for denial. </w:t>
      </w:r>
    </w:p>
    <w:p>
      <w:pPr>
        <w:pStyle w:val="List3"/>
      </w:pPr>
      <w:r>
        <w:t>d.</w:t>
        <w:tab/>
      </w:r>
      <w:r>
        <w:t xml:space="preserve">The town council, acting as licensing authority, shall make its decision to deny the license or permit or to modify the same upon such terms and conditions as it deems just so long as such terms and conditions are within its authority as the licensing authority. </w:t>
      </w:r>
    </w:p>
    <w:p>
      <w:pPr>
        <w:pStyle w:val="List3"/>
      </w:pPr>
      <w:r>
        <w:t>e.</w:t>
        <w:tab/>
      </w:r>
      <w:r>
        <w:t xml:space="preserve">In making its determination, the licensing authority shall determine the following: </w:t>
      </w:r>
    </w:p>
    <w:p>
      <w:pPr>
        <w:pStyle w:val="List4"/>
      </w:pPr>
      <w:r>
        <w:t>1.</w:t>
        <w:tab/>
      </w:r>
      <w:r>
        <w:t xml:space="preserve">The specific requirements of the license or permit under Maine State law and of the ordinances of the town; </w:t>
      </w:r>
    </w:p>
    <w:p>
      <w:pPr>
        <w:pStyle w:val="List4"/>
      </w:pPr>
      <w:r>
        <w:t>2.</w:t>
        <w:tab/>
      </w:r>
      <w:r>
        <w:t xml:space="preserve">The facts with respect to the applicant meeting the requirements of the license or permit; and </w:t>
      </w:r>
    </w:p>
    <w:p>
      <w:pPr>
        <w:pStyle w:val="List4"/>
      </w:pPr>
      <w:r>
        <w:t>3.</w:t>
        <w:tab/>
      </w:r>
      <w:r>
        <w:t xml:space="preserve">In matters in which the licensing authority has discretion, it shall make its requirements for the license or permit understandable to the applicant. </w:t>
      </w:r>
    </w:p>
    <w:p>
      <w:pPr>
        <w:pStyle w:val="List2"/>
      </w:pPr>
      <w:r>
        <w:t>(3)</w:t>
        <w:tab/>
      </w:r>
      <w:r>
        <w:rPr>
          <w:i w:val="true"/>
        </w:rPr>
        <w:t>Appeals.</w:t>
      </w:r>
      <w:r>
        <w:t xml:space="preserve"> Any licensee or permittee whose application has been denied by the town council, may, within thirty (30) days of the denial, appeal the decision to the board of appeals as defined by the town ordinance. </w:t>
      </w:r>
    </w:p>
    <w:p>
      <w:pPr>
        <w:pStyle w:val="List2"/>
      </w:pPr>
      <w:r>
        <w:t>(4)</w:t>
        <w:tab/>
      </w:r>
      <w:r>
        <w:rPr>
          <w:i w:val="true"/>
        </w:rPr>
        <w:t>Approval.</w:t>
      </w:r>
      <w:r>
        <w:t xml:space="preserve"> In all instances where the approval of any town official is required as a condition precedent to issuance of any license or permit, the town clerk shall notify promptly such officer or officers, and such license or permit shall not be issued until and unless all required approval is received, as evidenced by signatures on the application. </w:t>
      </w:r>
    </w:p>
    <w:p>
      <w:pPr>
        <w:pStyle w:val="HistoryNote"/>
      </w:pPr>
      <w:r>
        <w:rPr>
          <w:rStyle w:val="HistoryNote"/>
        </w:rPr>
        <w:t>(Ord. No. C2015-14, 8-13-15)</w:t>
      </w:r>
    </w:p>
    <w:p>
      <w:pPr>
        <w:pStyle w:val="Section"/>
      </w:pPr>
      <w:r>
        <w:t>Sec. 7-4.</w:t>
      </w:r>
      <w:r>
        <w:t> </w:t>
      </w:r>
      <w:r>
        <w:t>Suspension or revocation.</w:t>
      </w:r>
    </w:p>
    <w:p>
      <w:pPr>
        <w:pStyle w:val="Paragraph1"/>
      </w:pPr>
      <w:r>
        <w:rPr>
          <w:rStyle w:val="Paragraph1"/>
        </w:rPr>
        <w:t xml:space="preserve">Any license or permit issued under the licensing authority of the town may be suspended or revoked as follows: </w:t>
      </w:r>
    </w:p>
    <w:p>
      <w:pPr>
        <w:pStyle w:val="List2"/>
      </w:pPr>
      <w:r>
        <w:t>(1)</w:t>
        <w:tab/>
      </w:r>
      <w:r>
        <w:t xml:space="preserve">The town manager, after receipt of a notice in writing from any department head or town employee charged with the issuing, supervising, monitoring, inspecting, or otherwise of any licensee that such licensee is in violation of any requirement of Maine State law or the town ordinances respecting such license shall, without hearing, suspend any licenses granted by the licensing authority as herein provided by issuing in writing a notice of suspension delivered to the licensee or its agent in hand by a constable of the town. Such notice shall inform the licensee of the appeal procedure of the suspension. The suspension shall become a permanent suspension unless the licensee makes his appeal to the licensing authority as hereinafter provided. </w:t>
      </w:r>
    </w:p>
    <w:p>
      <w:pPr>
        <w:pStyle w:val="List2"/>
      </w:pPr>
      <w:r>
        <w:t>(2)</w:t>
        <w:tab/>
      </w:r>
      <w:r>
        <w:t xml:space="preserve">The town manager, upon such suspension, shall immediately notify the town council of the suspension. </w:t>
      </w:r>
    </w:p>
    <w:p>
      <w:pPr>
        <w:pStyle w:val="List2"/>
      </w:pPr>
      <w:r>
        <w:t>(3)</w:t>
        <w:tab/>
      </w:r>
      <w:r>
        <w:t xml:space="preserve">The licensee or permittee may apply in writing to the town clerk for a hearing upon the suspension herein provided for. Upon receipt of such application for reinstatement, the town council shall set the matter for hearing before it at a date no more than thirty (30) days from the date of the receipt of the application for reinstatement. </w:t>
      </w:r>
    </w:p>
    <w:p>
      <w:pPr>
        <w:pStyle w:val="List2"/>
      </w:pPr>
      <w:r>
        <w:t>(4)</w:t>
        <w:tab/>
      </w:r>
      <w:r>
        <w:t xml:space="preserve">The applicant, for reinstatement at the hearing herein provided, shall have the opportunity to be represented by counsel and present evidence in his behalf. The town manager or any agent of the town shall have a like opportunity to present evidence in support of the town's position for suspension or revocation. </w:t>
      </w:r>
    </w:p>
    <w:p>
      <w:pPr>
        <w:pStyle w:val="List2"/>
      </w:pPr>
      <w:r>
        <w:t>(5)</w:t>
        <w:tab/>
      </w:r>
      <w:r>
        <w:t xml:space="preserve">The town council acting as the licensing authority will make its decision to continue the suspension or revocation or modify the same upon such terms and conditions as it deems just so long as such terms and conditions are within its authority as the licensing authority. </w:t>
      </w:r>
    </w:p>
    <w:p>
      <w:pPr>
        <w:pStyle w:val="List2"/>
      </w:pPr>
      <w:r>
        <w:t>(6)</w:t>
        <w:tab/>
      </w:r>
      <w:r>
        <w:t xml:space="preserve">In making its determination, the town council shall determine the following: </w:t>
      </w:r>
    </w:p>
    <w:p>
      <w:pPr>
        <w:pStyle w:val="List3"/>
      </w:pPr>
      <w:r>
        <w:t>a.</w:t>
        <w:tab/>
      </w:r>
      <w:r>
        <w:t xml:space="preserve">The specific requirements of the license or permit under Maine State law and of the ordinances of the town; </w:t>
      </w:r>
    </w:p>
    <w:p>
      <w:pPr>
        <w:pStyle w:val="List3"/>
      </w:pPr>
      <w:r>
        <w:t>b.</w:t>
        <w:tab/>
      </w:r>
      <w:r>
        <w:t xml:space="preserve">The facts with respect to the licensee or permittee meeting the requirements of the license or permit; </w:t>
      </w:r>
    </w:p>
    <w:p>
      <w:pPr>
        <w:pStyle w:val="List3"/>
      </w:pPr>
      <w:r>
        <w:t>c.</w:t>
        <w:tab/>
      </w:r>
      <w:r>
        <w:t xml:space="preserve">In matters in which the licensing authority has discretion, it shall make its requirement for reinstatement specific and understandable to the licensee or permittee. </w:t>
      </w:r>
    </w:p>
    <w:p>
      <w:pPr>
        <w:pStyle w:val="List2"/>
      </w:pPr>
      <w:r>
        <w:t>(7)</w:t>
        <w:tab/>
      </w:r>
      <w:r>
        <w:t xml:space="preserve">Any licensee or permittee with a license or permit suspended or revoked by town council action, may, within thirty (30) days of suspension or revocation, appeal the decision to the board of appeals, as defined by the town ordinance. </w:t>
      </w:r>
    </w:p>
    <w:p>
      <w:pPr>
        <w:pStyle w:val="HistoryNote"/>
      </w:pPr>
      <w:r>
        <w:rPr>
          <w:rStyle w:val="HistoryNote"/>
        </w:rPr>
        <w:t>(Ord. No. C2015-14, 8-13-15)</w:t>
      </w:r>
    </w:p>
    <w:p>
      <w:pPr>
        <w:pStyle w:val="Section"/>
      </w:pPr>
      <w:r>
        <w:t>Sec. 7-5.</w:t>
      </w:r>
      <w:r>
        <w:t> </w:t>
      </w:r>
      <w:r>
        <w:t>Expiration.</w:t>
      </w:r>
    </w:p>
    <w:p>
      <w:pPr>
        <w:pStyle w:val="Paragraph1"/>
      </w:pPr>
      <w:r>
        <w:rPr>
          <w:rStyle w:val="Paragraph1"/>
        </w:rPr>
        <w:t xml:space="preserve">Except as otherwise provided by the chapter or by Maine State law, the term of all licenses shall be for a period of one (1) year, unless the license indicates a lesser period. Licenses shall expire on May 31 of each year unless sooner revoked. </w:t>
      </w:r>
    </w:p>
    <w:p>
      <w:pPr>
        <w:pStyle w:val="HistoryNote"/>
      </w:pPr>
      <w:r>
        <w:rPr>
          <w:rStyle w:val="HistoryNote"/>
        </w:rPr>
        <w:t>(Ord. No. C2015-14, 8-13-15)</w:t>
      </w:r>
    </w:p>
    <w:p>
      <w:pPr>
        <w:pStyle w:val="Section"/>
      </w:pPr>
      <w:r>
        <w:t>Sec. 7-6.</w:t>
      </w:r>
      <w:r>
        <w:t> </w:t>
      </w:r>
      <w:r>
        <w:t>Transferability.</w:t>
      </w:r>
    </w:p>
    <w:p>
      <w:pPr>
        <w:pStyle w:val="Paragraph1"/>
      </w:pPr>
      <w:r>
        <w:rPr>
          <w:rStyle w:val="Paragraph1"/>
        </w:rPr>
        <w:t xml:space="preserve">No license or permit issued under this chapter shall be transferable. When a business or enterprise is transferred to a new owner, its license shall immediately terminate and, unless otherwise provided by Maine State law or ordinances of the town, the new owner shall be required to apply for a new license under the terms of this chapter. </w:t>
      </w:r>
    </w:p>
    <w:p>
      <w:pPr>
        <w:pStyle w:val="HistoryNote"/>
      </w:pPr>
      <w:r>
        <w:rPr>
          <w:rStyle w:val="HistoryNote"/>
        </w:rPr>
        <w:t>(Ord. No. C2015-14, 8-13-15)</w:t>
      </w:r>
    </w:p>
    <w:p>
      <w:pPr>
        <w:pStyle w:val="Section"/>
      </w:pPr>
      <w:r>
        <w:t>Secs. 7-7—7-25.</w:t>
      </w:r>
      <w:r>
        <w:t> </w:t>
      </w:r>
      <w:r>
        <w:t>Reserved.</w:t>
      </w:r>
    </w:p>
    <w:p>
      <w:pPr>
        <w:pStyle w:val="Heading3"/>
      </w:pPr>
      <w:r>
        <w:t>ARTICLE II.</w:t>
      </w:r>
      <w:r>
        <w:t> </w:t>
      </w:r>
      <w:r>
        <w:t>LICENSES</w:t>
      </w:r>
    </w:p>
    <w:p>
      <w:pPr>
        <w:pStyle w:val="Section"/>
      </w:pPr>
      <w:r>
        <w:t>Sec. 7-26.</w:t>
      </w:r>
      <w:r>
        <w:t> </w:t>
      </w:r>
      <w:r>
        <w:t>Auctioneers.</w:t>
      </w:r>
    </w:p>
    <w:p>
      <w:pPr>
        <w:pStyle w:val="Paragraph1"/>
      </w:pPr>
      <w:r>
        <w:rPr>
          <w:rStyle w:val="Paragraph1"/>
        </w:rPr>
        <w:t xml:space="preserve">No person shall engage in the trade or business of auctioneer in the town unless such person has an auctioneer license as provided for by Maine State law. </w:t>
      </w:r>
    </w:p>
    <w:p>
      <w:pPr>
        <w:pStyle w:val="HistoryNote"/>
      </w:pPr>
      <w:r>
        <w:rPr>
          <w:rStyle w:val="HistoryNote"/>
        </w:rPr>
        <w:t>(Ord. No. C2015-14, 8-13-15)</w:t>
      </w:r>
    </w:p>
    <w:p>
      <w:pPr>
        <w:pStyle w:val="Section"/>
      </w:pPr>
      <w:r>
        <w:t>Sec. 7-27.</w:t>
      </w:r>
      <w:r>
        <w:t> </w:t>
      </w:r>
      <w:r>
        <w:t>Bowling alleys, poolrooms, shooting galleries.</w:t>
      </w:r>
    </w:p>
    <w:p>
      <w:pPr>
        <w:pStyle w:val="List1"/>
      </w:pPr>
      <w:r>
        <w:t>(a)</w:t>
        <w:tab/>
      </w:r>
      <w:r>
        <w:rPr>
          <w:i w:val="true"/>
        </w:rPr>
        <w:t>License.</w:t>
      </w:r>
      <w:r>
        <w:t xml:space="preserve"> No person shall conduct, maintain, or operate any place open to the public for bowling, or for playing pool or billiards, or for a shooting gallery without first obtaining a license. No such license shall be granted except upon the approval of the code enforcement officer and the fire chief. Licenses shall be granted in accordance with and subject to the requirements of Maine State law and the town ordinances. </w:t>
      </w:r>
    </w:p>
    <w:p>
      <w:pPr>
        <w:pStyle w:val="List1"/>
      </w:pPr>
      <w:r>
        <w:t>(b)</w:t>
        <w:tab/>
      </w:r>
      <w:r>
        <w:rPr>
          <w:i w:val="true"/>
        </w:rPr>
        <w:t>Expiration; cost; advertising cost.</w:t>
      </w:r>
      <w:r>
        <w:t xml:space="preserve"> The fee for such license shall be twenty-five dollars ($25.00) annually with licenses expiring on May 31 of each year unless sooner revoked. The costs for advertising for initial licenses shall be borne by the applicant for a fee of fifty dollars ($50.00). </w:t>
      </w:r>
    </w:p>
    <w:p>
      <w:pPr>
        <w:pStyle w:val="HistoryNote"/>
      </w:pPr>
      <w:r>
        <w:rPr>
          <w:rStyle w:val="HistoryNote"/>
        </w:rPr>
        <w:t>(Ord. No. C2015-14, 8-13-15)</w:t>
      </w:r>
    </w:p>
    <w:p>
      <w:pPr>
        <w:pStyle w:val="Hang1"/>
      </w:pPr>
      <w:r>
        <w:t>State law reference(s)—</w:t>
      </w:r>
      <w:r>
        <w:rPr>
          <w:rStyle w:val="Hang1"/>
        </w:rPr>
        <w:t xml:space="preserve">Bowling, pool and shooting galleries, 8 M.R.S.A. § 1 et seq. </w:t>
      </w:r>
    </w:p>
    <w:p>
      <w:pPr>
        <w:pStyle w:val="Section"/>
      </w:pPr>
      <w:r>
        <w:t>Sec. 7-28.</w:t>
      </w:r>
      <w:r>
        <w:t> </w:t>
      </w:r>
      <w:r>
        <w:t>Reserved.</w:t>
      </w:r>
    </w:p>
    <w:p>
      <w:pPr>
        <w:pStyle w:val="Section"/>
      </w:pPr>
      <w:r>
        <w:t>Sec. 7-29.</w:t>
      </w:r>
      <w:r>
        <w:t> </w:t>
      </w:r>
      <w:r>
        <w:t>Junkyards and automobile graveyards.</w:t>
      </w:r>
    </w:p>
    <w:p>
      <w:pPr>
        <w:pStyle w:val="List1"/>
      </w:pPr>
      <w:r>
        <w:t>(a)</w:t>
        <w:tab/>
      </w:r>
      <w:r>
        <w:rPr>
          <w:i w:val="true"/>
        </w:rPr>
        <w:t>License.</w:t>
      </w:r>
      <w:r>
        <w:t xml:space="preserve"> Junkyard and automobile graveyard permits shall be issued in accordance with and subject to the requirements of Maine State law and the town ordinances. </w:t>
      </w:r>
    </w:p>
    <w:p>
      <w:pPr>
        <w:pStyle w:val="List1"/>
      </w:pPr>
      <w:r>
        <w:t>(b)</w:t>
        <w:tab/>
      </w:r>
      <w:r>
        <w:rPr>
          <w:i w:val="true"/>
        </w:rPr>
        <w:t>Expiration; cost; advertising cost.</w:t>
      </w:r>
      <w:r>
        <w:t xml:space="preserve"> The fee for such license shall be set according to Maine State law with licenses expiring according to Maine State law unless sooner revoked. The costs for advertising for initial licenses shall be borne by the applicant for a fee of fifty dollars ($50.00). The costs for advertising for renewal licenses shall be borne by the applicant for a fee of ten dollars ($10.00). </w:t>
      </w:r>
    </w:p>
    <w:p>
      <w:pPr>
        <w:pStyle w:val="HistoryNote"/>
      </w:pPr>
      <w:r>
        <w:rPr>
          <w:rStyle w:val="HistoryNote"/>
        </w:rPr>
        <w:t>(Ord. No. C2015-14, 8-13-15)</w:t>
      </w:r>
    </w:p>
    <w:p>
      <w:pPr>
        <w:pStyle w:val="Hang1"/>
      </w:pPr>
      <w:r>
        <w:t>State law reference(s)—</w:t>
      </w:r>
      <w:r>
        <w:rPr>
          <w:rStyle w:val="Hang1"/>
        </w:rPr>
        <w:t xml:space="preserve">Automobile junkyards, 30-A M.R.S.A. § 3751 et seq. </w:t>
      </w:r>
    </w:p>
    <w:p>
      <w:pPr>
        <w:pStyle w:val="Section"/>
      </w:pPr>
      <w:r>
        <w:t>Sec. 7-30.</w:t>
      </w:r>
      <w:r>
        <w:t> </w:t>
      </w:r>
      <w:r>
        <w:t>Victualers.</w:t>
      </w:r>
    </w:p>
    <w:p>
      <w:pPr>
        <w:pStyle w:val="List1"/>
      </w:pPr>
      <w:r>
        <w:t>(a)</w:t>
        <w:tab/>
      </w:r>
      <w:r>
        <w:rPr>
          <w:i w:val="true"/>
        </w:rPr>
        <w:t>Definition.</w:t>
      </w:r>
      <w:r>
        <w:t xml:space="preserve"> Any person engaging in the business of preparing and selling any food commonly consumed by persons either on the premises or off the premises shall be designated a common victualer for the purpose of this section and shall obtain a license. The term "common victualer" shall include persons engaged in the restaurant, bakery, sandwich, and delicatessen business. No initial license shall be granted except upon certification of the health officer, code enforcement officer, and fire chief. </w:t>
      </w:r>
    </w:p>
    <w:p>
      <w:pPr>
        <w:pStyle w:val="List1"/>
      </w:pPr>
      <w:r>
        <w:t>(b)</w:t>
        <w:tab/>
      </w:r>
      <w:r>
        <w:rPr>
          <w:i w:val="true"/>
        </w:rPr>
        <w:t>License fee schedule.</w:t>
      </w:r>
      <w:r>
        <w:t xml:space="preserve"> In accordance with Maine State law and the town ordinances, the town shall charge for victualer's licenses according to the following schedule: </w:t>
      </w:r>
    </w:p>
    <w:p>
      <w:pPr/>
      <w:r>
        <w:t>Lunch wagons</w:t>
      </w:r>
      <w:r>
        <w:t>$15.00</w:t>
      </w:r>
      <w:r/>
    </w:p>
    <w:p>
      <w:pPr/>
      <w:r>
        <w:t>Lunch counters, diners, take-out sandwich businesses, etc.</w:t>
      </w:r>
      <w:r>
        <w:t>$20.00</w:t>
      </w:r>
      <w:r/>
    </w:p>
    <w:p>
      <w:pPr/>
      <w:r>
        <w:t>Year-round restaurants with under 50 seating capacity</w:t>
      </w:r>
      <w:r>
        <w:t>$25.00</w:t>
      </w:r>
      <w:r/>
    </w:p>
    <w:p>
      <w:pPr/>
      <w:r>
        <w:t>Year-round restaurants with over 50 seating capacity</w:t>
      </w:r>
      <w:r>
        <w:t>$35.00</w:t>
      </w:r>
      <w:r/>
    </w:p>
    <w:p>
      <w:pPr>
        <w:pStyle w:val="List1"/>
      </w:pPr>
      <w:r>
        <w:t>(c)</w:t>
        <w:tab/>
      </w:r>
      <w:r>
        <w:rPr>
          <w:i w:val="true"/>
        </w:rPr>
        <w:t>Expiration; advertising costs.</w:t>
      </w:r>
      <w:r>
        <w:t xml:space="preserve"> All licenses are annual with licenses expiring on May 31 of each year unless sooner revoked. The costs of advertising for initial licenses shall be borne by the applicant for a fee of fifty dollars ($50.00). </w:t>
      </w:r>
    </w:p>
    <w:p>
      <w:pPr>
        <w:pStyle w:val="HistoryNote"/>
      </w:pPr>
      <w:r>
        <w:rPr>
          <w:rStyle w:val="HistoryNote"/>
        </w:rPr>
        <w:t>(Ord. No. C2015-14, 8-13-15)</w:t>
      </w:r>
    </w:p>
    <w:p>
      <w:pPr>
        <w:pStyle w:val="Hang1"/>
      </w:pPr>
      <w:r>
        <w:t>State law reference(s)—</w:t>
      </w:r>
      <w:r>
        <w:rPr>
          <w:rStyle w:val="Hang1"/>
        </w:rPr>
        <w:t xml:space="preserve">Innkeepers, victualers and lodging houses, 30-A M.R.S.A. § 3802 et seq: lunch wagons, 30-A M.R.S.A. § 3931. </w:t>
      </w:r>
    </w:p>
    <w:p>
      <w:pPr>
        <w:pStyle w:val="Section"/>
      </w:pPr>
      <w:r>
        <w:t>Sec. 7-31.</w:t>
      </w:r>
      <w:r>
        <w:t> </w:t>
      </w:r>
      <w:r>
        <w:t>Innkeepers, lodging houses, tavern keepers, privately-owned campgrounds.</w:t>
      </w:r>
    </w:p>
    <w:p>
      <w:pPr>
        <w:pStyle w:val="List1"/>
      </w:pPr>
      <w:r>
        <w:t>(a)</w:t>
        <w:tab/>
      </w:r>
      <w:r>
        <w:rPr>
          <w:i w:val="true"/>
        </w:rPr>
        <w:t>License.</w:t>
      </w:r>
      <w:r>
        <w:t xml:space="preserve"> No person shall operate any hotel, motel, inn, boardinghouse, tavern, lodging house, or privately owned campground without first obtaining a license from the town in accordance with Maine State law and the town ordinances. No such license shall be granted except upon the approval of the code enforcement officer, the fire chief, and the health officer. </w:t>
      </w:r>
    </w:p>
    <w:p>
      <w:pPr>
        <w:pStyle w:val="List1"/>
      </w:pPr>
      <w:r>
        <w:t>(b)</w:t>
        <w:tab/>
      </w:r>
      <w:r>
        <w:rPr>
          <w:i w:val="true"/>
        </w:rPr>
        <w:t>Expiration; cost; advertising cost.</w:t>
      </w:r>
      <w:r>
        <w:t xml:space="preserve"> The fee for such licenses shall be twenty-five dollars ($25.00) annually with licenses expiring on May 31 of each year unless sooner revoked. A privately owned campground shall pay an additional fee of ten dollars ($10.00) annually per camp site. The costs of advertising for initial licenses shall be borne by the applicant for a fee of fifty dollars ($50.00). </w:t>
      </w:r>
    </w:p>
    <w:p>
      <w:pPr>
        <w:pStyle w:val="HistoryNote"/>
      </w:pPr>
      <w:r>
        <w:rPr>
          <w:rStyle w:val="HistoryNote"/>
        </w:rPr>
        <w:t>(Ord. No. C2015-14, 8-13-15)</w:t>
      </w:r>
    </w:p>
    <w:p>
      <w:pPr>
        <w:pStyle w:val="Section"/>
      </w:pPr>
      <w:r>
        <w:t>Sec. 7-32.</w:t>
      </w:r>
      <w:r>
        <w:t> </w:t>
      </w:r>
      <w:r>
        <w:t>Reserved.</w:t>
      </w:r>
    </w:p>
    <w:p>
      <w:pPr>
        <w:pStyle w:val="Section"/>
      </w:pPr>
      <w:r>
        <w:t>Sec. 7-33.</w:t>
      </w:r>
      <w:r>
        <w:t> </w:t>
      </w:r>
      <w:r>
        <w:t>Private sales, yard sales and flea markets.</w:t>
      </w:r>
    </w:p>
    <w:p>
      <w:pPr>
        <w:pStyle w:val="List1"/>
      </w:pPr>
      <w:r>
        <w:t>(a)</w:t>
        <w:tab/>
      </w:r>
      <w:r>
        <w:rPr>
          <w:i w:val="true"/>
        </w:rPr>
        <w:t>Permits.</w:t>
      </w:r>
      <w:r>
        <w:t xml:space="preserve"> It shall be unlawful for any person or group to conduct a yard sale or flea market as defined in the town without having first obtained a permit from the town clerk. </w:t>
      </w:r>
    </w:p>
    <w:p>
      <w:pPr>
        <w:pStyle w:val="List2"/>
      </w:pPr>
      <w:r>
        <w:t>(1)</w:t>
        <w:tab/>
      </w:r>
      <w:r/>
      <w:r>
        <w:rPr>
          <w:i w:val="true"/>
        </w:rPr>
        <w:t>Definitions.</w:t>
      </w:r>
      <w:r/>
    </w:p>
    <w:p>
      <w:pPr>
        <w:pStyle w:val="List3"/>
      </w:pPr>
      <w:r>
        <w:t>a.</w:t>
        <w:tab/>
      </w:r>
      <w:r>
        <w:rPr>
          <w:i w:val="true"/>
        </w:rPr>
        <w:t>Yard sales</w:t>
      </w:r>
      <w:r>
        <w:t xml:space="preserve"> shall mean and include all sales entitled "garage sale," "lawn sale," "porch sale," "attic sale," "rummage sale," "yard sale," or any similar casual sale of tangible personal property which is advertised by any means or is made evident by articles being set out in a yard, porch, or garage whereby the public at large can be made aware of such sales. All sales areas shall be kept neat and orderly. </w:t>
      </w:r>
    </w:p>
    <w:p>
      <w:pPr>
        <w:pStyle w:val="List3"/>
      </w:pPr>
      <w:r>
        <w:t>b.</w:t>
        <w:tab/>
      </w:r>
      <w:r>
        <w:rPr>
          <w:i w:val="true"/>
        </w:rPr>
        <w:t>Flea markets</w:t>
      </w:r>
      <w:r>
        <w:t xml:space="preserve"> shall be similar to yard sales, but shall have three (3) or more sponsors. "Sponsor" is defined as the individual(s) responsible for obtaining a permit from the town and ensuring compliance with the provisions of this section. Each sponsor must have at least one (1) table with materials for sale. </w:t>
      </w:r>
    </w:p>
    <w:p>
      <w:pPr>
        <w:pStyle w:val="List1"/>
      </w:pPr>
      <w:r>
        <w:t>(b)</w:t>
        <w:tab/>
      </w:r>
      <w:r/>
      <w:r>
        <w:rPr>
          <w:i w:val="true"/>
        </w:rPr>
        <w:t>Fees.</w:t>
      </w:r>
      <w:r/>
    </w:p>
    <w:p>
      <w:pPr>
        <w:pStyle w:val="List2"/>
      </w:pPr>
      <w:r>
        <w:t>(1)</w:t>
        <w:tab/>
      </w:r>
      <w:r>
        <w:rPr>
          <w:i w:val="true"/>
        </w:rPr>
        <w:t>Yard sale.</w:t>
      </w:r>
      <w:r>
        <w:t xml:space="preserve"> Permits shall be issued for a single sale. The duration of any one (1) sale shall be for no more than three (3) consecutive days in any seven-day period and shall be limited to the hours between 8:00 a.m. and 7:00 p.m. No more than three (3) sales shall be held at the same location in any calendar year. Yard sale permits shall cost five dollars ($5.00) per sale, fifteen dollars ($15.00) per calendar year. </w:t>
      </w:r>
    </w:p>
    <w:p>
      <w:pPr>
        <w:pStyle w:val="List2"/>
      </w:pPr>
      <w:r>
        <w:t>(2)</w:t>
        <w:tab/>
      </w:r>
      <w:r>
        <w:rPr>
          <w:i w:val="true"/>
        </w:rPr>
        <w:t>Flea markets.</w:t>
      </w:r>
      <w:r>
        <w:t xml:space="preserve"> Permits shall be issued for a calendar month or for a calendar year. The duration of any one (1) sale shall be for no more than three (3) consecutive days in any seven-day period and shall be limited to the hours between 8:00 a.m. and 7:00 p.m. Flea market permits shall cost twenty-five dollars ($25.00) per calendar month or two hundred dollars ($200.00) per calendar year. </w:t>
      </w:r>
    </w:p>
    <w:p>
      <w:pPr>
        <w:pStyle w:val="List1"/>
      </w:pPr>
      <w:r>
        <w:t>(c)</w:t>
        <w:tab/>
      </w:r>
      <w:r>
        <w:rPr>
          <w:i w:val="true"/>
        </w:rPr>
        <w:t>Exceptions.</w:t>
      </w:r>
      <w:r>
        <w:t xml:space="preserve"> Applications for private sales, yard sales, and flea markets shall not appear on the agenda for action by the town council. </w:t>
      </w:r>
    </w:p>
    <w:p>
      <w:pPr>
        <w:pStyle w:val="List1"/>
      </w:pPr>
      <w:r>
        <w:t>(d)</w:t>
        <w:tab/>
      </w:r>
      <w:r>
        <w:rPr>
          <w:i w:val="true"/>
        </w:rPr>
        <w:t>Performance standards.</w:t>
      </w:r>
      <w:r>
        <w:t xml:space="preserve"> The following provisions establish the standards which must be attained while conducting sales under this section. Safety is of paramount importance and sponsors of these sales shall take all reasonable precautions to ensure that customers are not subject to undue hazards while visiting the site of the sale. These shall include, but not be limited to: </w:t>
      </w:r>
    </w:p>
    <w:p>
      <w:pPr>
        <w:pStyle w:val="List2"/>
      </w:pPr>
      <w:r>
        <w:t>(1)</w:t>
        <w:tab/>
      </w:r>
      <w:r>
        <w:t xml:space="preserve">A sensible parking plan and traffic flow scheme; </w:t>
      </w:r>
    </w:p>
    <w:p>
      <w:pPr>
        <w:pStyle w:val="List2"/>
      </w:pPr>
      <w:r>
        <w:t>(2)</w:t>
        <w:tab/>
      </w:r>
      <w:r>
        <w:t xml:space="preserve">Parking for flea markets shall be off the street and out of the traffic flow; </w:t>
      </w:r>
    </w:p>
    <w:p>
      <w:pPr>
        <w:pStyle w:val="List2"/>
      </w:pPr>
      <w:r>
        <w:t>(3)</w:t>
        <w:tab/>
      </w:r>
      <w:r>
        <w:t xml:space="preserve">Tables shall be set out of the right-of-way (i.e., the edge of the gravel shoulder, or edge of the pavement); </w:t>
      </w:r>
    </w:p>
    <w:p>
      <w:pPr>
        <w:pStyle w:val="List2"/>
      </w:pPr>
      <w:r>
        <w:t>(4)</w:t>
        <w:tab/>
      </w:r>
      <w:r>
        <w:t xml:space="preserve">Signs shall be posted identifying the dates, times, and locations of such sales (these signs shall be placed in highly visible locations along both sides of the nearest thoroughfare, facing oncoming traffic and shall be located not less than three hundred (300) feet from the sale location in rural areas outside the town proper, and not less than one hundred (100) feet from the location of those sales conducted in-town proper); </w:t>
      </w:r>
    </w:p>
    <w:p>
      <w:pPr>
        <w:pStyle w:val="List2"/>
      </w:pPr>
      <w:r>
        <w:t>(5)</w:t>
        <w:tab/>
      </w:r>
      <w:r>
        <w:t xml:space="preserve">No person shall attach or otherwise affix any sign, advertisement, or notice on any utility power pole, traffic sign, fire hydrant, bridge, pavement, sidewalk, or on any building, property, or thing belonging to the town; </w:t>
      </w:r>
    </w:p>
    <w:p>
      <w:pPr>
        <w:pStyle w:val="List2"/>
      </w:pPr>
      <w:r>
        <w:t>(6)</w:t>
        <w:tab/>
      </w:r>
      <w:r>
        <w:t xml:space="preserve">All signs shall be removed immediately upon completion of the sale; </w:t>
      </w:r>
    </w:p>
    <w:p>
      <w:pPr>
        <w:pStyle w:val="List2"/>
      </w:pPr>
      <w:r>
        <w:t>(7)</w:t>
        <w:tab/>
      </w:r>
      <w:r>
        <w:t xml:space="preserve">All sale items shall be removed from sight after the completion of the sale. </w:t>
      </w:r>
    </w:p>
    <w:p>
      <w:pPr>
        <w:pStyle w:val="List1"/>
      </w:pPr>
      <w:r>
        <w:t>(e)</w:t>
        <w:tab/>
      </w:r>
      <w:r>
        <w:rPr>
          <w:i w:val="true"/>
        </w:rPr>
        <w:t>Liability statement.</w:t>
      </w:r>
      <w:r>
        <w:t xml:space="preserve"> Neither the town nor its officers shall be held liable for granting a permit to anyone conducting such sale. Any damage which may arise from an accident or incident at the scene of a sale shall be the sole responsibility of the permit holder and/or its sponsors. </w:t>
      </w:r>
    </w:p>
    <w:p>
      <w:pPr>
        <w:pStyle w:val="List1"/>
      </w:pPr>
      <w:r>
        <w:t>(f)</w:t>
        <w:tab/>
      </w:r>
      <w:r>
        <w:rPr>
          <w:i w:val="true"/>
        </w:rPr>
        <w:t>Fines.</w:t>
      </w:r>
      <w:r>
        <w:t xml:space="preserve"> Any person who in any manner violates the provisions of this section shall, on conviction, be punished by a fine of not less than twenty-five dollars ($25.00) nor more than one hundred dollars ($100.00), with costs of prosecution for each offense. Each day of violation shall constitute a separate offense for purposes of prosecution of violations of this section. </w:t>
      </w:r>
    </w:p>
    <w:p>
      <w:pPr>
        <w:pStyle w:val="HistoryNote"/>
      </w:pPr>
      <w:r>
        <w:rPr>
          <w:rStyle w:val="HistoryNote"/>
        </w:rPr>
        <w:t>(Ord. No. C2015-14, 8-13-15)</w:t>
      </w:r>
    </w:p>
    <w:p>
      <w:pPr>
        <w:pStyle w:val="Hang1"/>
      </w:pPr>
      <w:r>
        <w:t>State law reference(s)—</w:t>
      </w:r>
      <w:r>
        <w:rPr>
          <w:rStyle w:val="Hang1"/>
        </w:rPr>
        <w:t xml:space="preserve">Garage sales, 30-A M.R.S.A. § 3901. </w:t>
      </w:r>
    </w:p>
    <w:p>
      <w:pPr>
        <w:pStyle w:val="Section"/>
      </w:pPr>
      <w:r>
        <w:t>Sec. 7-34.</w:t>
      </w:r>
      <w:r>
        <w:t> </w:t>
      </w:r>
      <w:r>
        <w:t>Reserved.</w:t>
      </w:r>
    </w:p>
    <w:p>
      <w:pPr>
        <w:pStyle w:val="Section"/>
      </w:pPr>
      <w:r>
        <w:t>Sec. 7-35.</w:t>
      </w:r>
      <w:r>
        <w:t> </w:t>
      </w:r>
      <w:r>
        <w:t>Special permit for music, dancing, or entertainment in liquor establishments.</w:t>
      </w:r>
    </w:p>
    <w:p>
      <w:pPr>
        <w:pStyle w:val="List1"/>
      </w:pPr>
      <w:r>
        <w:t>(a)</w:t>
        <w:tab/>
      </w:r>
      <w:r>
        <w:rPr>
          <w:i w:val="true"/>
        </w:rPr>
        <w:t>Purpose.</w:t>
      </w:r>
      <w:r>
        <w:t xml:space="preserve"> The purpose of this section is to control the issuance of special permits for music, dancing or entertainment in facilities licensed by the State of Maine to sell liquor as required by Maine State law and the town ordinances. </w:t>
      </w:r>
    </w:p>
    <w:p>
      <w:pPr>
        <w:pStyle w:val="List1"/>
      </w:pPr>
      <w:r>
        <w:t>(b)</w:t>
        <w:tab/>
      </w:r>
      <w:r>
        <w:rPr>
          <w:i w:val="true"/>
        </w:rPr>
        <w:t>Definitions.</w:t>
      </w:r>
      <w:r>
        <w:t xml:space="preserve"> The following words, terms and phrases, when used in this section, shall have the meanings ascribed to them below, except where the context clearly indicates a different meaning: </w:t>
      </w:r>
    </w:p>
    <w:p>
      <w:pPr>
        <w:pStyle w:val="List2"/>
      </w:pPr>
      <w:r>
        <w:t>(1)</w:t>
        <w:tab/>
      </w:r>
      <w:r>
        <w:rPr>
          <w:i w:val="true"/>
        </w:rPr>
        <w:t>Entertainment</w:t>
      </w:r>
      <w:r>
        <w:t xml:space="preserve"> means any amusement, performance, exhibition or diversion for patrons or customers of the licensed premises whether provided by professional entertainers or by full-time or part-time employees of the licensed premises whose incidental duties include activities with an entertainment value. </w:t>
      </w:r>
    </w:p>
    <w:p>
      <w:pPr>
        <w:pStyle w:val="List2"/>
      </w:pPr>
      <w:r>
        <w:t>(2)</w:t>
        <w:tab/>
      </w:r>
      <w:r>
        <w:rPr>
          <w:i w:val="true"/>
        </w:rPr>
        <w:t>Licensee</w:t>
      </w:r>
      <w:r>
        <w:t xml:space="preserve"> means the holder of a license issued under the alcoholic beverages Statutes of the State of Maine, or any person, individual, partnership, firm, association, corporation or other legal entity, or any agent, or employee of any such licensee. </w:t>
      </w:r>
    </w:p>
    <w:p>
      <w:pPr>
        <w:pStyle w:val="List2"/>
      </w:pPr>
      <w:r>
        <w:t>(3)</w:t>
        <w:tab/>
      </w:r>
      <w:r>
        <w:rPr>
          <w:i w:val="true"/>
        </w:rPr>
        <w:t>Tumultuous conduct</w:t>
      </w:r>
      <w:r>
        <w:t xml:space="preserve"> means conduct of such nature and magnitude as to require or to cause the involvement of other law enforcement authorities. </w:t>
      </w:r>
    </w:p>
    <w:p>
      <w:pPr>
        <w:pStyle w:val="List2"/>
      </w:pPr>
      <w:r>
        <w:t>(4)</w:t>
        <w:tab/>
      </w:r>
      <w:r>
        <w:rPr>
          <w:i w:val="true"/>
        </w:rPr>
        <w:t>Unnecessary noise</w:t>
      </w:r>
      <w:r>
        <w:t xml:space="preserve"> means noise of such a level and duration that it is both clearly audible outside the premises for which a permit has been issued and sufficiently irritating to disturb the residents in the neighborhood where the establishment is located. </w:t>
      </w:r>
    </w:p>
    <w:p>
      <w:pPr>
        <w:pStyle w:val="List1"/>
      </w:pPr>
      <w:r>
        <w:t>(c)</w:t>
        <w:tab/>
      </w:r>
      <w:r/>
      <w:r>
        <w:rPr>
          <w:i w:val="true"/>
        </w:rPr>
        <w:t>Permit.</w:t>
      </w:r>
      <w:r/>
    </w:p>
    <w:p>
      <w:pPr>
        <w:pStyle w:val="List2"/>
      </w:pPr>
      <w:r>
        <w:t>(1)</w:t>
        <w:tab/>
      </w:r>
      <w:r>
        <w:t xml:space="preserve">No licensee for the sale of liquor to be consumed on a licensed premises shall permit, on a licensed premises, any music, except radio or other mechanical device, any dancing or entertainment of any sort unless the licensee has first obtained from the town in which the licensed premises are situated a special amusement permit signed by at least a majority of the town council members. </w:t>
      </w:r>
    </w:p>
    <w:p>
      <w:pPr>
        <w:pStyle w:val="List2"/>
      </w:pPr>
      <w:r>
        <w:t>(2)</w:t>
        <w:tab/>
      </w:r>
      <w:r>
        <w:t xml:space="preserve">No permit shall be issued for anything, or act, or premises, if the premises and building to be used for the purposes do not fully comply with all ordinances, articles, bylaws, or rules and regulations of the town. </w:t>
      </w:r>
    </w:p>
    <w:p>
      <w:pPr>
        <w:pStyle w:val="List2"/>
      </w:pPr>
      <w:r>
        <w:t>(3)</w:t>
        <w:tab/>
      </w:r>
      <w:r>
        <w:t xml:space="preserve">The town council shall grant a permit unless it finds that issuance of the permit would be detrimental to the public health, safety, or welfare, or would violate Maine State law or municipal ordinances, or rules and regulations, articles, or bylaws. </w:t>
      </w:r>
    </w:p>
    <w:p>
      <w:pPr>
        <w:pStyle w:val="List1"/>
      </w:pPr>
      <w:r>
        <w:t>(d)</w:t>
        <w:tab/>
      </w:r>
      <w:r>
        <w:rPr>
          <w:i w:val="true"/>
        </w:rPr>
        <w:t>Expiration.</w:t>
      </w:r>
      <w:r>
        <w:t xml:space="preserve"> A permit shall be valid only for the license year of the applicant's existing liquor license. </w:t>
      </w:r>
    </w:p>
    <w:p>
      <w:pPr>
        <w:pStyle w:val="List1"/>
      </w:pPr>
      <w:r>
        <w:t>(e)</w:t>
        <w:tab/>
      </w:r>
      <w:r>
        <w:rPr>
          <w:i w:val="true"/>
        </w:rPr>
        <w:t>Inspections.</w:t>
      </w:r>
      <w:r>
        <w:t xml:space="preserve"> No such permit shall be granted except upon certification of the health officer, code enforcement officer and fire chief. </w:t>
      </w:r>
    </w:p>
    <w:p>
      <w:pPr>
        <w:pStyle w:val="List1"/>
      </w:pPr>
      <w:r>
        <w:t>(f)</w:t>
        <w:tab/>
      </w:r>
      <w:r>
        <w:rPr>
          <w:i w:val="true"/>
        </w:rPr>
        <w:t>Cost; advertising cost.</w:t>
      </w:r>
      <w:r>
        <w:t xml:space="preserve"> The fee for a special amusement permit shall be twenty-five dollars ($25.00). The costs for advertising for initial permits shall be borne by the applicant for a fee of fifty dollars ($50.00). </w:t>
      </w:r>
    </w:p>
    <w:p>
      <w:pPr>
        <w:pStyle w:val="List1"/>
      </w:pPr>
      <w:r>
        <w:t>(g)</w:t>
        <w:tab/>
      </w:r>
      <w:r>
        <w:rPr>
          <w:i w:val="true"/>
        </w:rPr>
        <w:t>Standards.</w:t>
      </w:r>
      <w:r>
        <w:t xml:space="preserve"> The town council hereby adopts the following standards for the issuance of a special amusement permit and for the suspension or revocation of such permits. These standards shall determine whether the issuance of a permit or continued activity under an already existing permit would be detrimental to the public health, safety, or welfare, or would violate municipal ordinances, or rules and regulations, articles or bylaws. These standards shall constitute the standards governing issuance, revocation and suspension of permits. </w:t>
      </w:r>
    </w:p>
    <w:p>
      <w:pPr>
        <w:pStyle w:val="List2"/>
      </w:pPr>
      <w:r>
        <w:t>(1)</w:t>
        <w:tab/>
      </w:r>
      <w:r>
        <w:rPr>
          <w:i w:val="true"/>
        </w:rPr>
        <w:t>Hours of operation.</w:t>
      </w:r>
      <w:r>
        <w:t xml:space="preserve"> The permitted activities under a special amusement permit shall cease no later than 1:00 a.m. It shall be deemed detrimental to the public safety or welfare for entertainment of the type requiring a special amusement permit to occur between the hours of 1:00 a.m. and 7:00 a.m. New Year's Eve hours shall be extended to 2:00 a.m. </w:t>
      </w:r>
    </w:p>
    <w:p>
      <w:pPr>
        <w:pStyle w:val="List2"/>
      </w:pPr>
      <w:r>
        <w:t>(2)</w:t>
        <w:tab/>
      </w:r>
      <w:r>
        <w:t xml:space="preserve">The facilities on a premises receiving a permit under the terms of this section shall be adequate to assure the safety of all patrons of that establishment and shall comply with all Maine State laws and town ordinances regarding such an establishment. </w:t>
      </w:r>
    </w:p>
    <w:p>
      <w:pPr>
        <w:pStyle w:val="List2"/>
      </w:pPr>
      <w:r>
        <w:t>(3)</w:t>
        <w:tab/>
      </w:r>
      <w:r>
        <w:t xml:space="preserve">Operation of an establishment by a licensee for a permit hereunder shall in no event result in a line or crowd outside the entrance of the establishment containing more than five (5) patrons or prospective patrons of the establishment. </w:t>
      </w:r>
    </w:p>
    <w:p>
      <w:pPr>
        <w:pStyle w:val="List1"/>
      </w:pPr>
      <w:r>
        <w:t>(h)</w:t>
        <w:tab/>
      </w:r>
      <w:r/>
      <w:r>
        <w:rPr>
          <w:i w:val="true"/>
        </w:rPr>
        <w:t>Incidents of tumultuous conduct; noise complaints.</w:t>
      </w:r>
      <w:r/>
    </w:p>
    <w:p>
      <w:pPr>
        <w:pStyle w:val="List2"/>
      </w:pPr>
      <w:r>
        <w:t>(1)</w:t>
        <w:tab/>
      </w:r>
      <w:r>
        <w:t xml:space="preserve">Incidents of tumultuous conduct shall be grounds for the suspension or revocation of a permit following notice and hearing, and subject to the procedures of this chapter. The licensee of the permit hereunder shall not permit tumultuous conduct in his establishment at any time. Incidents or occurrences of tumultuous conduct as defined herein twice in one (1) week or three (3) times in one (1) month shall be considered prima facie evidence that tumultuous conduct has occurred which shall be grounds for suspension of the permit following notice and hearing as prescribed herein. </w:t>
      </w:r>
    </w:p>
    <w:p>
      <w:pPr>
        <w:pStyle w:val="List2"/>
      </w:pPr>
      <w:r>
        <w:t>(2)</w:t>
        <w:tab/>
      </w:r>
      <w:r>
        <w:t xml:space="preserve">An instance of tumultuous conduct involving more than five (5) people shall constitute riotous conduct. One (1) such incidence of riotous conduct shall constitute grounds for suspension of the permit following notice and hearing and shall be prima facie evidence of a condition detrimental to the public health, safety or welfare of the community. </w:t>
      </w:r>
    </w:p>
    <w:p>
      <w:pPr>
        <w:pStyle w:val="List2"/>
      </w:pPr>
      <w:r>
        <w:t>(3)</w:t>
        <w:tab/>
      </w:r>
      <w:r>
        <w:t xml:space="preserve">Unnecessary noise as defined herein constitutes a detriment to the public health, safety or welfare. More than three (3) complaints of unnecessary noise shall cause the town council to consider revocation or suspension of the permit following notice and hearing to interested parties as prescribed herein. </w:t>
      </w:r>
    </w:p>
    <w:p>
      <w:pPr>
        <w:pStyle w:val="List1"/>
      </w:pPr>
      <w:r>
        <w:t>(i)</w:t>
        <w:tab/>
      </w:r>
      <w:r/>
      <w:r>
        <w:rPr>
          <w:i w:val="true"/>
        </w:rPr>
        <w:t>Noise measurement and levels.</w:t>
      </w:r>
      <w:r/>
    </w:p>
    <w:p>
      <w:pPr>
        <w:pStyle w:val="List2"/>
      </w:pPr>
      <w:r>
        <w:t>(1)</w:t>
        <w:tab/>
      </w:r>
      <w:r>
        <w:t xml:space="preserve">Excessive noise at unreasonable hours shall be required to be muffled so as not to be objectionable due to intermittence, beat frequency or volume. </w:t>
      </w:r>
    </w:p>
    <w:p>
      <w:pPr>
        <w:pStyle w:val="List2"/>
      </w:pPr>
      <w:r>
        <w:t>(2)</w:t>
        <w:tab/>
      </w:r>
      <w:r>
        <w:t xml:space="preserve">The maximum permissible sound pressure level of any continuous, regular, frequent, intermittent or periodic source of sound produced by any activity regulated by this chapter shall not exceed the following sound pressure level limits during the time period indicated: </w:t>
      </w:r>
    </w:p>
    <w:p>
      <w:pPr>
        <w:pStyle w:val="Block3"/>
      </w:pPr>
      <w:r>
        <w:rPr>
          <w:rStyle w:val="Block3"/>
        </w:rPr>
      </w:r>
      <w:r>
        <w:rPr>
          <w:i w:val="true"/>
        </w:rPr>
        <w:t>Sound pressure level limits:</w:t>
      </w:r>
      <w:r>
        <w:rPr>
          <w:rStyle w:val="Block3"/>
        </w:rPr>
      </w:r>
    </w:p>
    <w:p>
      <w:pPr>
        <w:pStyle w:val="Block3"/>
      </w:pPr>
      <w:r>
        <w:rPr>
          <w:rStyle w:val="Block3"/>
        </w:rPr>
        <w:t xml:space="preserve">7:00 a.m. to 9:00 p.m.: 60 db(a) </w:t>
      </w:r>
    </w:p>
    <w:p>
      <w:pPr>
        <w:pStyle w:val="Block3"/>
      </w:pPr>
      <w:r>
        <w:rPr>
          <w:rStyle w:val="Block3"/>
        </w:rPr>
        <w:t xml:space="preserve">9:00 p.m. to 7:00 a.m.: 50 db(a) </w:t>
      </w:r>
    </w:p>
    <w:p>
      <w:pPr>
        <w:pStyle w:val="List2"/>
      </w:pPr>
      <w:r>
        <w:t>(3)</w:t>
        <w:tab/>
      </w:r>
      <w:r>
        <w:t xml:space="preserve">Sound pressure levels shall be measured at fifty (50) feet from the exterior wall nearest to the sound source. Sound pressure levels shall be measured using the sound level meter orientation specified by the manufacturer. </w:t>
      </w:r>
    </w:p>
    <w:p>
      <w:pPr>
        <w:pStyle w:val="List2"/>
      </w:pPr>
      <w:r>
        <w:t>(4)</w:t>
        <w:tab/>
      </w:r>
      <w:r>
        <w:t xml:space="preserve">Noise shall be measured with a sound level meter meeting the standards of the American National Standards Institute (ANSI) for either Type 1 or Type 2 meters, and according to standard sound level measurement standards. </w:t>
      </w:r>
    </w:p>
    <w:p>
      <w:pPr>
        <w:pStyle w:val="List1"/>
      </w:pPr>
      <w:r>
        <w:t>(j)</w:t>
        <w:tab/>
      </w:r>
      <w:r>
        <w:rPr>
          <w:i w:val="true"/>
        </w:rPr>
        <w:t>Enforcement.</w:t>
      </w:r>
      <w:r>
        <w:t xml:space="preserve"> Subsection (i) is enforceable by law enforcement officers or by the code enforcement officer, who may measure noise levels and make any such reports as may be required. Violation of the provisions of subsection (i) shall result in the following: </w:t>
      </w:r>
    </w:p>
    <w:p>
      <w:pPr>
        <w:pStyle w:val="Block3"/>
      </w:pPr>
      <w:r>
        <w:rPr>
          <w:i w:val="true"/>
        </w:rPr>
        <w:t>First offense:</w:t>
      </w:r>
      <w:r>
        <w:rPr>
          <w:rStyle w:val="Block3"/>
        </w:rPr>
        <w:t xml:space="preserve"> Written warning. </w:t>
      </w:r>
    </w:p>
    <w:p>
      <w:pPr>
        <w:pStyle w:val="Block3"/>
      </w:pPr>
      <w:r>
        <w:rPr>
          <w:i w:val="true"/>
        </w:rPr>
        <w:t>Second offense:</w:t>
      </w:r>
      <w:r>
        <w:rPr>
          <w:rStyle w:val="Block3"/>
        </w:rPr>
        <w:t xml:space="preserve"> Two hundred fifty dollar ($250.00) fine. </w:t>
      </w:r>
    </w:p>
    <w:p>
      <w:pPr>
        <w:pStyle w:val="Block3"/>
      </w:pPr>
      <w:r>
        <w:rPr>
          <w:i w:val="true"/>
        </w:rPr>
        <w:t>Third offense:</w:t>
      </w:r>
      <w:r>
        <w:rPr>
          <w:rStyle w:val="Block3"/>
        </w:rPr>
        <w:t xml:space="preserve"> Five hundred dollar ($500.00) fine and a hearing before the town council to consider the revocation of the special amusement and live entertainment license. </w:t>
      </w:r>
    </w:p>
    <w:p>
      <w:pPr>
        <w:pStyle w:val="List1"/>
      </w:pPr>
      <w:r>
        <w:t>(k)</w:t>
        <w:tab/>
      </w:r>
      <w:r>
        <w:rPr>
          <w:i w:val="true"/>
        </w:rPr>
        <w:t>Admission charge.</w:t>
      </w:r>
      <w:r>
        <w:t xml:space="preserve"> A licensed hotel, class A restaurant, class A tavern, or restaurant malt liquor licensee who has been issued a special amusement permit may charge admission in designated areas approved by the special amusement permit. </w:t>
      </w:r>
    </w:p>
    <w:p>
      <w:pPr>
        <w:pStyle w:val="List1"/>
      </w:pPr>
      <w:r>
        <w:t>(l)</w:t>
        <w:tab/>
      </w:r>
      <w:r>
        <w:rPr>
          <w:i w:val="true"/>
        </w:rPr>
        <w:t>Penalty.</w:t>
      </w:r>
      <w:r>
        <w:t xml:space="preserve"> Whoever violates any provision of this section, excluding the provisions set out in subsection (i), shall be punished by a fine of not more than fifty dollars ($50.00) for the first offense and up to one hundred dollars ($100.00) for each subsequent offense, to be recovered, on complaint, to the use of the town. </w:t>
      </w:r>
    </w:p>
    <w:p>
      <w:pPr>
        <w:pStyle w:val="HistoryNote"/>
      </w:pPr>
      <w:r>
        <w:rPr>
          <w:rStyle w:val="HistoryNote"/>
        </w:rPr>
        <w:t>(Ord. No. C2015-14, 8-13-15)</w:t>
      </w:r>
    </w:p>
    <w:p>
      <w:pPr>
        <w:pStyle w:val="Section"/>
      </w:pPr>
      <w:r>
        <w:t>Sec. 7-36.</w:t>
      </w:r>
      <w:r>
        <w:t> </w:t>
      </w:r>
      <w:r>
        <w:t>Carnivals, circuses, exhibitions.</w:t>
      </w:r>
    </w:p>
    <w:p>
      <w:pPr>
        <w:pStyle w:val="List1"/>
      </w:pPr>
      <w:r>
        <w:t>(a)</w:t>
        <w:tab/>
      </w:r>
      <w:r>
        <w:rPr>
          <w:i w:val="true"/>
        </w:rPr>
        <w:t>License.</w:t>
      </w:r>
      <w:r>
        <w:t xml:space="preserve"> No person shall conduct or operate any exhibition, performance, or show at which an admission fee is charged without first obtaining a license. No such license shall be granted except upon certification of the police chief, the fire chief, the code enforcement officer, and the health officer. Either the fire chief or the police chief, or both, may condition their certificate of approval upon the presence of one (1) or more members of their respective departments or some person or persons satisfactory to and under the direction of the fire chief or police chief. </w:t>
      </w:r>
    </w:p>
    <w:p>
      <w:pPr>
        <w:pStyle w:val="List1"/>
      </w:pPr>
      <w:r>
        <w:t>(b)</w:t>
        <w:tab/>
      </w:r>
      <w:r>
        <w:rPr>
          <w:i w:val="true"/>
        </w:rPr>
        <w:t>Cost; advertising cost.</w:t>
      </w:r>
      <w:r>
        <w:t xml:space="preserve"> A deposit sufficient to pay for additional police or fire protection required for such events will be left with the town office in advance of the event. The fee for such licenses shall be twenty-five dollars ($25.00) per event. The costs of advertising for licenses shall be borne by the applicant for a fee of fifty dollars ($50.00) per event. </w:t>
      </w:r>
    </w:p>
    <w:p>
      <w:pPr>
        <w:pStyle w:val="HistoryNote"/>
      </w:pPr>
      <w:r>
        <w:rPr>
          <w:rStyle w:val="HistoryNote"/>
        </w:rPr>
        <w:t>(Ord. No. C2015-14, 8-13-15)</w:t>
      </w:r>
    </w:p>
    <w:p>
      <w:pPr>
        <w:pStyle w:val="Hang1"/>
      </w:pPr>
      <w:r>
        <w:t>State law reference(s)—</w:t>
      </w:r>
      <w:r>
        <w:rPr>
          <w:rStyle w:val="Hang1"/>
        </w:rPr>
        <w:t xml:space="preserve">Public exhibitions, 8 M.R.S.A. § 501 et seq. </w:t>
      </w:r>
    </w:p>
    <w:p>
      <w:pPr>
        <w:pStyle w:val="Section"/>
      </w:pPr>
      <w:r>
        <w:t>Sec. 7-37.</w:t>
      </w:r>
      <w:r>
        <w:t> </w:t>
      </w:r>
      <w:r>
        <w:t>Motion pictures, theaters.</w:t>
      </w:r>
    </w:p>
    <w:p>
      <w:pPr>
        <w:pStyle w:val="List1"/>
      </w:pPr>
      <w:r>
        <w:t>(a)</w:t>
        <w:tab/>
      </w:r>
      <w:r>
        <w:rPr>
          <w:i w:val="true"/>
        </w:rPr>
        <w:t>License.</w:t>
      </w:r>
      <w:r>
        <w:t xml:space="preserve"> No person shall operate an indoor or outdoor theater, with live, filmed, electrical, or electronic presentations, without first obtaining a license. No such license shall be granted except on certification of the code enforcement officer and the fire chief. </w:t>
      </w:r>
    </w:p>
    <w:p>
      <w:pPr>
        <w:pStyle w:val="List1"/>
      </w:pPr>
      <w:r>
        <w:t>(b)</w:t>
        <w:tab/>
      </w:r>
      <w:r>
        <w:rPr>
          <w:i w:val="true"/>
        </w:rPr>
        <w:t>Expiration; cost; advertising cost.</w:t>
      </w:r>
      <w:r>
        <w:t xml:space="preserve"> The fee for such licenses shall be twenty-five dollars ($25.00) annually with licenses expiring on May 31 unless sooner revoked. The costs for advertising for initial licenses shall be borne by the applicant for a fee of fifty dollars ($50.00). </w:t>
      </w:r>
    </w:p>
    <w:p>
      <w:pPr>
        <w:pStyle w:val="HistoryNote"/>
      </w:pPr>
      <w:r>
        <w:rPr>
          <w:rStyle w:val="HistoryNote"/>
        </w:rPr>
        <w:t>(Ord. No. C2015-14, 8-13-15)</w:t>
      </w:r>
    </w:p>
    <w:p>
      <w:pPr>
        <w:pStyle w:val="Section"/>
      </w:pPr>
      <w:r>
        <w:t>Sec. 7-38.</w:t>
      </w:r>
      <w:r>
        <w:t> </w:t>
      </w:r>
      <w:r>
        <w:t>Reserved.</w:t>
      </w:r>
    </w:p>
    <w:p>
      <w:pPr>
        <w:pStyle w:val="Section"/>
      </w:pPr>
      <w:r>
        <w:t>Sec. 7-39.</w:t>
      </w:r>
      <w:r>
        <w:t> </w:t>
      </w:r>
      <w:r>
        <w:t>Pawnbroker's</w:t>
      </w:r>
    </w:p>
    <w:p>
      <w:pPr/>
      <w:r>
        <w:t xml:space="preserve">license. </w:t>
      </w:r>
    </w:p>
    <w:p>
      <w:pPr>
        <w:pStyle w:val="List1"/>
      </w:pPr>
      <w:r>
        <w:t>(a)</w:t>
        <w:tab/>
      </w:r>
      <w:r>
        <w:rPr>
          <w:i w:val="true"/>
        </w:rPr>
        <w:t>License.</w:t>
      </w:r>
      <w:r>
        <w:t xml:space="preserve"> The town may grant licenses to persons to conduct pawn transactions for one (1) year unless sooner revoked for violation of law. </w:t>
      </w:r>
    </w:p>
    <w:p>
      <w:pPr>
        <w:pStyle w:val="List1"/>
      </w:pPr>
      <w:r>
        <w:t>(b)</w:t>
        <w:tab/>
      </w:r>
      <w:r>
        <w:rPr>
          <w:i w:val="true"/>
        </w:rPr>
        <w:t>Expiration; cost; advertising cost.</w:t>
      </w:r>
      <w:r>
        <w:t xml:space="preserve"> The fee for such licenses shall be twenty-five dollars ($25.00) annually with licenses expiring on May 31 of each year unless sooner revoked. The cost for advertising for initial licenses shall be borne by the applicant for a fee of fifty dollars ($50.00). </w:t>
      </w:r>
    </w:p>
    <w:p>
      <w:pPr>
        <w:pStyle w:val="List1"/>
      </w:pPr>
      <w:r>
        <w:t>(c)</w:t>
        <w:tab/>
      </w:r>
      <w:r>
        <w:rPr>
          <w:i w:val="true"/>
        </w:rPr>
        <w:t>Penalty.</w:t>
      </w:r>
      <w:r>
        <w:t xml:space="preserve"> Whoever carries on such business without a license shall be punished in accordance with Maine State law. </w:t>
      </w:r>
    </w:p>
    <w:p>
      <w:pPr>
        <w:pStyle w:val="HistoryNote"/>
      </w:pPr>
      <w:r>
        <w:rPr>
          <w:rStyle w:val="HistoryNote"/>
        </w:rPr>
        <w:t>(Ord. No. C2015-14, 8-13-15)</w:t>
      </w:r>
    </w:p>
    <w:p>
      <w:pPr>
        <w:pStyle w:val="Section"/>
      </w:pPr>
      <w:r>
        <w:t>Secs. 7-40—7-55.</w:t>
      </w:r>
      <w:r>
        <w:t> </w:t>
      </w:r>
      <w:r>
        <w:t>Reserved.</w:t>
      </w:r>
    </w:p>
    <w:p>
      <w:pPr>
        <w:pStyle w:val="Section"/>
      </w:pPr>
      <w:r>
        <w:t>Sec. 7-56</w:t>
      </w:r>
      <w:r>
        <w:t> </w:t>
      </w:r>
      <w:r>
        <w:t>Taxicabs.</w:t>
      </w:r>
    </w:p>
    <w:p>
      <w:pPr>
        <w:pStyle w:val="List1"/>
      </w:pPr>
      <w:r>
        <w:t>(a)</w:t>
        <w:tab/>
      </w:r>
      <w:r>
        <w:rPr>
          <w:i w:val="true"/>
        </w:rPr>
        <w:t>Definitions.</w:t>
      </w:r>
      <w:r>
        <w:t xml:space="preserve"> The following words, terms and phrases, when used in this article, shall have the meanings ascribed to them in this section, except where the context clearly indicates a different meaning: </w:t>
      </w:r>
    </w:p>
    <w:p>
      <w:pPr>
        <w:pStyle w:val="List2"/>
      </w:pPr>
      <w:r>
        <w:t>(1)</w:t>
        <w:tab/>
      </w:r>
      <w:r>
        <w:rPr>
          <w:i w:val="true"/>
        </w:rPr>
        <w:t>Taxicab</w:t>
      </w:r>
      <w:r>
        <w:t xml:space="preserve"> means a motor vehicle used for the conveyance of passengers for hire, without fixed terminal or routes, the destination and route of which are under the control of the passenger or passengers being carried and the fares for which are at rates per mile or wait-time or both. </w:t>
      </w:r>
    </w:p>
    <w:p>
      <w:pPr>
        <w:pStyle w:val="List2"/>
      </w:pPr>
      <w:r>
        <w:t>(2)</w:t>
        <w:tab/>
      </w:r>
      <w:r>
        <w:rPr>
          <w:i w:val="true"/>
        </w:rPr>
        <w:t>Taxi meter</w:t>
      </w:r>
      <w:r>
        <w:t xml:space="preserve"> means a mechanical instrument or device by which the fare for hire of the taxicab is mechanically computed and calculated and on which such fare is plainly visible. </w:t>
      </w:r>
    </w:p>
    <w:p>
      <w:pPr>
        <w:pStyle w:val="List1"/>
      </w:pPr>
      <w:r>
        <w:t>(b)</w:t>
        <w:tab/>
      </w:r>
      <w:r>
        <w:rPr>
          <w:i w:val="true"/>
        </w:rPr>
        <w:t>License; exceptions.</w:t>
      </w:r>
      <w:r>
        <w:t xml:space="preserve"> It shall be unlawful for any person to operate or cause to be operated in the town any taxicab without having first obtained a license. It shall not be deemed to be the operation of a taxicab or the causing of a taxicab to be operated within the meaning of this article if a person licensed to operate a taxicab in any city or town which grants the same rights as are granted herein to taxicabs licensed in the town shall, upon delivery in Dexter of a bona fide passenger from the place where the taxicab is licensed, take a passenger or passengers from the point of delivery in Dexter to the place where the taxicab is licensed without parking and or cruising in Dexter to obtain the passenger or passengers. </w:t>
      </w:r>
    </w:p>
    <w:p>
      <w:pPr>
        <w:pStyle w:val="List1"/>
      </w:pPr>
      <w:r>
        <w:t>(c)</w:t>
        <w:tab/>
      </w:r>
      <w:r>
        <w:rPr>
          <w:i w:val="true"/>
        </w:rPr>
        <w:t>Determination of need.</w:t>
      </w:r>
      <w:r>
        <w:t xml:space="preserve"> The town council shall determine the need for and to issue licenses to operate taxicabs in the town. </w:t>
      </w:r>
    </w:p>
    <w:p>
      <w:pPr>
        <w:pStyle w:val="List1"/>
      </w:pPr>
      <w:r>
        <w:t>(d)</w:t>
        <w:tab/>
      </w:r>
      <w:r/>
      <w:r>
        <w:rPr>
          <w:i w:val="true"/>
        </w:rPr>
        <w:t>Establishment of taxicab stands.</w:t>
      </w:r>
      <w:r/>
    </w:p>
    <w:p>
      <w:pPr>
        <w:pStyle w:val="List2"/>
      </w:pPr>
      <w:r>
        <w:t>(1)</w:t>
        <w:tab/>
      </w:r>
      <w:r>
        <w:t xml:space="preserve">The town council shall establish taxicab stands on such public streets and in such places and in such number as it shall determine to be of the greatest benefit and convenience to the public. Such stands shall be designated by appropriate signs and means erected by and at the expense of the taxicab owners subject to the approval of the traffic board, acting in its capacity as a licensing board. </w:t>
      </w:r>
    </w:p>
    <w:p>
      <w:pPr>
        <w:pStyle w:val="List2"/>
      </w:pPr>
      <w:r>
        <w:t>(2)</w:t>
        <w:tab/>
      </w:r>
      <w:r>
        <w:t xml:space="preserve">It shall be unlawful for the operator of any vehicle other than a taxicab to stand or park in an officially designated taxicab stand, except that the operator of any passenger vehicle may temporarily stop in such stand for the purpose of and while engaged in the loading or unloading of passengers. </w:t>
      </w:r>
    </w:p>
    <w:p>
      <w:pPr>
        <w:pStyle w:val="List1"/>
      </w:pPr>
      <w:r>
        <w:t>(e)</w:t>
        <w:tab/>
      </w:r>
      <w:r>
        <w:rPr>
          <w:i w:val="true"/>
        </w:rPr>
        <w:t>Vehicle safety requirements.</w:t>
      </w:r>
      <w:r>
        <w:t xml:space="preserve"> The licensing board of the town shall require all taxicabs licensed under this article to meet and maintain such requirements for the safety and protection of the public and passengers as are required by the State of Maine inspection laws pertaining to motor vehicles. </w:t>
      </w:r>
    </w:p>
    <w:p>
      <w:pPr>
        <w:pStyle w:val="List1"/>
      </w:pPr>
      <w:r>
        <w:t>(f)</w:t>
        <w:tab/>
      </w:r>
      <w:r>
        <w:rPr>
          <w:i w:val="true"/>
        </w:rPr>
        <w:t>Expiration; cost; advertising cost.</w:t>
      </w:r>
      <w:r>
        <w:t xml:space="preserve"> The fee for such licenses shall be twenty-five dollars ($25.00) annually for each taxicab operated by the same person or owner with licenses expiring on May 31 of each year unless sooner revoked. The costs for advertising for initial licenses shall be borne by the applicant for a fee of fifty dollars ($50.00). </w:t>
      </w:r>
    </w:p>
    <w:p>
      <w:pPr>
        <w:pStyle w:val="HistoryNote"/>
      </w:pPr>
      <w:r>
        <w:rPr>
          <w:rStyle w:val="HistoryNote"/>
        </w:rPr>
        <w:t>(Ord. No. C2015-14, 8-13-15)</w:t>
      </w:r>
    </w:p>
    <w:p>
      <w:pPr>
        <w:pStyle w:val="Section"/>
      </w:pPr>
      <w:r>
        <w:t>Sec. 7-57.</w:t>
      </w:r>
      <w:r>
        <w:t> </w:t>
      </w:r>
      <w:r>
        <w:t>Marijuana licensing ordinance.</w:t>
      </w:r>
    </w:p>
    <w:p>
      <w:pPr>
        <w:pStyle w:val="List1"/>
      </w:pPr>
      <w:r>
        <w:t>(a)</w:t>
        <w:tab/>
      </w:r>
      <w:r>
        <w:rPr>
          <w:i w:val="true"/>
        </w:rPr>
        <w:t>Purpose and authority.</w:t>
      </w:r>
      <w:r>
        <w:t xml:space="preserve"> This section is enacted pursuant to authority granted under the Marijuana Legalization Act, 28-B M.R.S. § 101 et seq.; the Maine Medical Use of Marijuana Act, 22 M.R.S. § 2421 et seq.; and the Town's home rule authority under Article VIII, Part 2, Section 1 of the Maine Constitution, 30-A M.R.S. § 3001 et seq., and 30-A M.R.S. § 4301 et seq. </w:t>
      </w:r>
    </w:p>
    <w:p>
      <w:pPr>
        <w:pStyle w:val="Paragraph1"/>
      </w:pPr>
      <w:r>
        <w:rPr>
          <w:rStyle w:val="Paragraph1"/>
        </w:rPr>
        <w:t xml:space="preserve">The purpose of this section is to regulate adult use and medical marijuana businesses in order to promote the health, safety, and general welfare of the citizens of Dexter. </w:t>
      </w:r>
      <w:r>
        <w:br w:type="page"/>
      </w:r>
    </w:p>
    <w:p>
      <w:pPr>
        <w:pStyle w:val="List1"/>
      </w:pPr>
      <w:r>
        <w:t>(b)</w:t>
        <w:tab/>
      </w:r>
      <w:r/>
      <w:r>
        <w:rPr>
          <w:i w:val="true"/>
        </w:rPr>
        <w:t>Definitions.</w:t>
      </w:r>
      <w:r/>
    </w:p>
    <w:p>
      <w:pPr>
        <w:pStyle w:val="Paragraph1"/>
      </w:pPr>
      <w:r>
        <w:rPr>
          <w:rStyle w:val="Paragraph1"/>
        </w:rPr>
        <w:t xml:space="preserve">The following words, terms and phrases, when used in this section, shall have the meanings ascribed to them in this section, except where the context clearly indicates a different meaning: </w:t>
      </w:r>
    </w:p>
    <w:p>
      <w:pPr>
        <w:pStyle w:val="Paragraph1"/>
      </w:pPr>
      <w:r>
        <w:rPr>
          <w:i w:val="true"/>
        </w:rPr>
        <w:t>Adult use marijuana</w:t>
      </w:r>
      <w:r>
        <w:rPr>
          <w:rStyle w:val="Paragraph1"/>
        </w:rPr>
        <w:t xml:space="preserve"> means marijuana cultivated, manufactured, tested, distributed or sold by an adult use marijuana business. </w:t>
      </w:r>
    </w:p>
    <w:p>
      <w:pPr>
        <w:pStyle w:val="Paragraph1"/>
      </w:pPr>
      <w:r>
        <w:rPr>
          <w:i w:val="true"/>
        </w:rPr>
        <w:t>Adult use marijuana cultivation facility</w:t>
      </w:r>
      <w:r>
        <w:rPr>
          <w:rStyle w:val="Paragraph1"/>
        </w:rPr>
        <w:t xml:space="preserve"> means a facility licensed to purchase marijuana plants and seeds from other cultivation facilities; to cultivate, prepare and package adult use marijuana; to sell adult use marijuana to products manufacturing facilities, to marijuana stores and to other cultivation facilities; and to sell marijuana plants and seeds to other cultivation facilities and immature marijuana plants and seedlings to marijuana stores. </w:t>
      </w:r>
    </w:p>
    <w:p>
      <w:pPr>
        <w:pStyle w:val="Paragraph1"/>
      </w:pPr>
      <w:r>
        <w:rPr>
          <w:i w:val="true"/>
        </w:rPr>
        <w:t>Adult use marijuana products manufacturing facility</w:t>
      </w:r>
      <w:r>
        <w:rPr>
          <w:rStyle w:val="Paragraph1"/>
        </w:rPr>
        <w:t xml:space="preserve"> means a facility licensed under this chapter to purchase adult use marijuana from a cultivation facility or another products manufacturing facility; to manufacture, label and package adult use marijuana and adult use marijuana products; and to sell adult use marijuana and adult use marijuana products to marijuana stores and to other products manufacturing facilities. </w:t>
      </w:r>
    </w:p>
    <w:p>
      <w:pPr>
        <w:pStyle w:val="Paragraph1"/>
      </w:pPr>
      <w:r>
        <w:rPr>
          <w:i w:val="true"/>
        </w:rPr>
        <w:t>Adult use marijuana store</w:t>
      </w:r>
      <w:r>
        <w:rPr>
          <w:rStyle w:val="Paragraph1"/>
        </w:rPr>
        <w:t xml:space="preserve"> means a facility licensed under this chapter to purchase adult use marijuana, immature marijuana plants and seedlings from a cultivation facility, to purchase adult use marijuana and adult use marijuana products from a products manufacturing facility and to sell adult use marijuana, adult use marijuana products, immature marijuana plants and seedlings to consumers. </w:t>
      </w:r>
    </w:p>
    <w:p>
      <w:pPr>
        <w:pStyle w:val="Paragraph1"/>
      </w:pPr>
      <w:r>
        <w:rPr>
          <w:i w:val="true"/>
        </w:rPr>
        <w:t>Adult use marijuana testing facility</w:t>
      </w:r>
      <w:r>
        <w:rPr>
          <w:rStyle w:val="Paragraph1"/>
        </w:rPr>
        <w:t xml:space="preserve"> means a facility licensed under this chapter to develop, research and test marijuana, marijuana products and other substances. </w:t>
      </w:r>
    </w:p>
    <w:p>
      <w:pPr>
        <w:pStyle w:val="Paragraph1"/>
      </w:pPr>
      <w:r>
        <w:rPr>
          <w:i w:val="true"/>
        </w:rPr>
        <w:t>Caregiver retail store</w:t>
      </w:r>
      <w:r>
        <w:rPr>
          <w:rStyle w:val="Paragraph1"/>
        </w:rPr>
        <w:t xml:space="preserve"> means a store that has attributes generally associated with retail stores, including, but not limited to a fixed location, a sign, regular business hours, accessibility to the public and sales of goods or services directly to a consumer, and that is used by a registered caregiver to offer marijuana plants or harvested marijuana for sale to qualifying patients. </w:t>
      </w:r>
    </w:p>
    <w:p>
      <w:pPr>
        <w:pStyle w:val="Paragraph1"/>
      </w:pPr>
      <w:r>
        <w:rPr>
          <w:i w:val="true"/>
        </w:rPr>
        <w:t>Cultivation</w:t>
      </w:r>
      <w:r>
        <w:rPr>
          <w:rStyle w:val="Paragraph1"/>
        </w:rPr>
        <w:t xml:space="preserve"> or </w:t>
      </w:r>
      <w:r>
        <w:rPr>
          <w:i w:val="true"/>
        </w:rPr>
        <w:t>cultivate</w:t>
      </w:r>
      <w:r>
        <w:rPr>
          <w:rStyle w:val="Paragraph1"/>
        </w:rPr>
        <w:t xml:space="preserve"> means the planting, propagation, growing, harvesting, drying, curing, grading, trimming or other processing of marijuana for use or sale. "Cultivation" or "cultivate" does not include manufacturing, testing or marijuana extraction. </w:t>
      </w:r>
    </w:p>
    <w:p>
      <w:pPr>
        <w:pStyle w:val="Paragraph1"/>
      </w:pPr>
      <w:r>
        <w:rPr>
          <w:i w:val="true"/>
        </w:rPr>
        <w:t>Manufacturing</w:t>
      </w:r>
      <w:r>
        <w:rPr>
          <w:rStyle w:val="Paragraph1"/>
        </w:rPr>
        <w:t xml:space="preserve"> or </w:t>
      </w:r>
      <w:r>
        <w:rPr>
          <w:i w:val="true"/>
        </w:rPr>
        <w:t>manufacture</w:t>
      </w:r>
      <w:r>
        <w:rPr>
          <w:rStyle w:val="Paragraph1"/>
        </w:rPr>
        <w:t xml:space="preserve"> means the production, blending, infusing, compounding or other preparation of marijuana and marijuana products, including, but not limited to, marijuana extraction or preparation by means of chemical synthesis. "Manufacturing" or "manufacture" does not include cultivation or testing. </w:t>
      </w:r>
    </w:p>
    <w:p>
      <w:pPr>
        <w:pStyle w:val="Paragraph1"/>
      </w:pPr>
      <w:r>
        <w:rPr>
          <w:i w:val="true"/>
        </w:rPr>
        <w:t>Marijuana</w:t>
      </w:r>
      <w:r>
        <w:rPr>
          <w:rStyle w:val="Paragraph1"/>
        </w:rPr>
        <w:t xml:space="preserve"> means the leaves, stems, flowers and seeds of a marijuana plant, whether growing or not. "Marijuana" includes marijuana concentrate but does not include industrial hemp as defined in 7 M.R.S. § 2231(1) or a marijuana product. </w:t>
      </w:r>
    </w:p>
    <w:p>
      <w:pPr>
        <w:pStyle w:val="Paragraph1"/>
      </w:pPr>
      <w:r>
        <w:rPr>
          <w:i w:val="true"/>
        </w:rPr>
        <w:t>Marijuana business</w:t>
      </w:r>
      <w:r>
        <w:rPr>
          <w:rStyle w:val="Paragraph1"/>
        </w:rPr>
        <w:t xml:space="preserve"> means medical marijuana cultivation facility, medical marijuana manufacturing facility, medical marijuana testing facility, registered dispensary, registered caregiver retail store, adult use marijuana cultivation facility, adult use marijuana products manufacturing facility, adult use testing facility, or adult use marijuana store. </w:t>
      </w:r>
    </w:p>
    <w:p>
      <w:pPr>
        <w:pStyle w:val="Paragraph1"/>
      </w:pPr>
      <w:r>
        <w:rPr>
          <w:i w:val="true"/>
        </w:rPr>
        <w:t>Marijuana extraction</w:t>
      </w:r>
      <w:r>
        <w:rPr>
          <w:rStyle w:val="Paragraph1"/>
        </w:rPr>
        <w:t xml:space="preserve"> means the process of extracting marijuana concentrate from marijuana using water, lipids, gases, solvents or other chemicals or chemical processes. </w:t>
      </w:r>
    </w:p>
    <w:p>
      <w:pPr>
        <w:pStyle w:val="Paragraph1"/>
      </w:pPr>
      <w:r>
        <w:rPr>
          <w:i w:val="true"/>
        </w:rPr>
        <w:t>Medical marijuana</w:t>
      </w:r>
      <w:r>
        <w:rPr>
          <w:rStyle w:val="Paragraph1"/>
        </w:rPr>
        <w:t xml:space="preserve"> means marijuana that is acquired, possessed, cultivated, manufactured, used, delivered, transferred or transported to a qualifying patient for medical use. </w:t>
      </w:r>
    </w:p>
    <w:p>
      <w:pPr>
        <w:pStyle w:val="Paragraph1"/>
      </w:pPr>
      <w:r>
        <w:rPr>
          <w:i w:val="true"/>
        </w:rPr>
        <w:t>Medical marijuana cultivation facility</w:t>
      </w:r>
      <w:r>
        <w:rPr>
          <w:rStyle w:val="Paragraph1"/>
        </w:rPr>
        <w:t xml:space="preserve"> means a facility used for cultivation, processing, storage, and/or distribution of medical marijuana at a location which is not the registered caregiver's primary residence. A medical marijuana cultivation facility shall be considered a commercial use. </w:t>
      </w:r>
    </w:p>
    <w:p>
      <w:pPr>
        <w:pStyle w:val="Paragraph1"/>
      </w:pPr>
      <w:r>
        <w:rPr>
          <w:i w:val="true"/>
        </w:rPr>
        <w:t>Medical marijuana manufacturing facility</w:t>
      </w:r>
      <w:r>
        <w:rPr>
          <w:rStyle w:val="Paragraph1"/>
        </w:rPr>
        <w:t xml:space="preserve"> means a registered tier 1 or tier 2 manufacturing facility or a person authorized to engage in marijuana extraction under M.R.S. § 2423-F. </w:t>
      </w:r>
    </w:p>
    <w:p>
      <w:pPr/>
      <w:r>
        <w:rPr>
          <w:i w:val="true"/>
        </w:rPr>
        <w:t>Medical marijuana testing facility</w:t>
      </w:r>
      <w:r>
        <w:rPr>
          <w:rStyle w:val="Paragraph1"/>
        </w:rPr>
        <w:t xml:space="preserve"> means a public or private laboratory that: </w:t>
      </w:r>
    </w:p>
    <w:p>
      <w:pPr>
        <w:pStyle w:val="List2"/>
      </w:pPr>
      <w:r>
        <w:t>(1)</w:t>
        <w:tab/>
      </w:r>
      <w:r>
        <w:t xml:space="preserve">Is authorized in accordance with M.R.S. § 2423-A, subsection 10 to analyze contaminants in and the potency and cannabinoid profile of samples; and [2017, c. 447, §2 (AMD); 2017, c. 452, §3 (AMD).] </w:t>
      </w:r>
    </w:p>
    <w:p>
      <w:pPr>
        <w:pStyle w:val="List2"/>
      </w:pPr>
      <w:r>
        <w:t>(2)</w:t>
        <w:tab/>
      </w:r>
      <w:r>
        <w:t xml:space="preserve">Is accredited pursuant to standard ISO/IEC 17025 of the International Organization for Standardization by a 3rd-party accrediting body or is certified, registered or accredited by an organization approved by the department. </w:t>
      </w:r>
    </w:p>
    <w:p>
      <w:pPr>
        <w:pStyle w:val="Paragraph1"/>
      </w:pPr>
      <w:r>
        <w:rPr>
          <w:i w:val="true"/>
        </w:rPr>
        <w:t>Registered caregiver</w:t>
      </w:r>
      <w:r>
        <w:rPr>
          <w:rStyle w:val="Paragraph1"/>
        </w:rPr>
        <w:t xml:space="preserve"> means a person or an assistant of that person that provides care for a qualifying patient and is registered with the State of Maine in accordance with 22 M.R.S. § 2425-A. </w:t>
      </w:r>
    </w:p>
    <w:p>
      <w:pPr>
        <w:pStyle w:val="Paragraph1"/>
      </w:pPr>
      <w:r>
        <w:rPr>
          <w:i w:val="true"/>
        </w:rPr>
        <w:t>Registered dispensary</w:t>
      </w:r>
      <w:r>
        <w:rPr>
          <w:rStyle w:val="Paragraph1"/>
        </w:rPr>
        <w:t xml:space="preserve"> or </w:t>
      </w:r>
      <w:r>
        <w:rPr>
          <w:i w:val="true"/>
        </w:rPr>
        <w:t>dispensary</w:t>
      </w:r>
      <w:r>
        <w:rPr>
          <w:rStyle w:val="Paragraph1"/>
        </w:rPr>
        <w:t xml:space="preserve"> means an entity registered under 22 M.R.S. § 2425-A that acquires, possesses, cultivates, manufactures, delivers, transfers, transports, sells, supplies or dispenses marijuana or related supplies and educational materials to qualifying patients and the caregivers of those patients. </w:t>
      </w:r>
    </w:p>
    <w:p>
      <w:pPr>
        <w:pStyle w:val="Paragraph1"/>
      </w:pPr>
      <w:r>
        <w:rPr>
          <w:i w:val="true"/>
        </w:rPr>
        <w:t>School</w:t>
      </w:r>
      <w:r>
        <w:rPr>
          <w:rStyle w:val="Paragraph1"/>
        </w:rPr>
        <w:t xml:space="preserve"> means public, private and any other educational facility that serves children from pre-kindergarten to grade 12 as defined in M.R.S. Title 20-A section 1 subsections 22, 24, and 23-A. </w:t>
      </w:r>
    </w:p>
    <w:p>
      <w:pPr>
        <w:pStyle w:val="List1"/>
      </w:pPr>
      <w:r>
        <w:t>(c)</w:t>
        <w:tab/>
      </w:r>
      <w:r/>
      <w:r>
        <w:rPr>
          <w:i w:val="true"/>
        </w:rPr>
        <w:t>Allowed marijuana businesses.</w:t>
      </w:r>
      <w:r/>
    </w:p>
    <w:p>
      <w:pPr>
        <w:pStyle w:val="List2"/>
      </w:pPr>
      <w:r>
        <w:t>(1)</w:t>
        <w:tab/>
      </w:r>
      <w:r>
        <w:t xml:space="preserve">The following marijuana businesses are allowed in the Town of Dexter, provided all necessary state and local authorizations and permits are obtained: </w:t>
      </w:r>
    </w:p>
    <w:p>
      <w:pPr>
        <w:pStyle w:val="List3"/>
      </w:pPr>
      <w:r>
        <w:t>a.</w:t>
        <w:tab/>
      </w:r>
      <w:r>
        <w:t xml:space="preserve">Medical marijuana manufacturing facility. </w:t>
      </w:r>
    </w:p>
    <w:p>
      <w:pPr>
        <w:pStyle w:val="List3"/>
      </w:pPr>
      <w:r>
        <w:t>b.</w:t>
        <w:tab/>
      </w:r>
      <w:r>
        <w:t xml:space="preserve">Adult use marijuana products manufacturing facility. </w:t>
      </w:r>
    </w:p>
    <w:p>
      <w:pPr>
        <w:pStyle w:val="List3"/>
      </w:pPr>
      <w:r>
        <w:t>c.</w:t>
        <w:tab/>
      </w:r>
      <w:r>
        <w:t xml:space="preserve">Medical marijuana retail store. </w:t>
      </w:r>
    </w:p>
    <w:p>
      <w:pPr>
        <w:pStyle w:val="List2"/>
      </w:pPr>
      <w:r>
        <w:t>(2)</w:t>
        <w:tab/>
      </w:r>
      <w:r>
        <w:t xml:space="preserve">All other marijuana businesses are prohibited in the Town of Dexter. </w:t>
      </w:r>
    </w:p>
    <w:p>
      <w:pPr>
        <w:pStyle w:val="List1"/>
      </w:pPr>
      <w:r>
        <w:t>(d)</w:t>
        <w:tab/>
      </w:r>
      <w:r/>
      <w:r>
        <w:rPr>
          <w:i w:val="true"/>
        </w:rPr>
        <w:t>Licensing required for marijuana businesses.</w:t>
      </w:r>
      <w:r/>
    </w:p>
    <w:p>
      <w:pPr>
        <w:pStyle w:val="List2"/>
      </w:pPr>
      <w:r>
        <w:t>(1)</w:t>
        <w:tab/>
      </w:r>
      <w:r>
        <w:t xml:space="preserve">No person may establish, operate or maintain a marijuana business without first obtaining a license from the municipal officers. </w:t>
      </w:r>
    </w:p>
    <w:p>
      <w:pPr>
        <w:pStyle w:val="List2"/>
      </w:pPr>
      <w:r>
        <w:t>(2)</w:t>
        <w:tab/>
      </w:r>
      <w:r>
        <w:t xml:space="preserve">The municipal officers shall license no more than two (2) marijuana businesses. </w:t>
      </w:r>
    </w:p>
    <w:p>
      <w:pPr>
        <w:pStyle w:val="List2"/>
      </w:pPr>
      <w:r>
        <w:t>(3)</w:t>
        <w:tab/>
      </w:r>
      <w:r>
        <w:t xml:space="preserve">Before the town council approves a license under this section, the applicant must demonstrate that their state authorization is current. All applicants for a marijuana business license for an adult use marijuana business must first obtain a conditional license by the State of Maine to operate the adult use marijuana business prior to submitting an application. </w:t>
      </w:r>
    </w:p>
    <w:p>
      <w:pPr>
        <w:pStyle w:val="List2"/>
      </w:pPr>
      <w:r>
        <w:t>(4)</w:t>
        <w:tab/>
      </w:r>
      <w:r>
        <w:t xml:space="preserve">Application shall be made in writing to the town council and shall, as a minimum, state the name of the applicant; his/her/their residence address; the name of the business to be conducted; sufficient documentation demonstrating possession or entitlement to possession of the proposed licensed premises of the marijuana business; his/her/their business address; the nature of his/her/their business; the location to be used; whether the applicant has ever had a license to conduct the business therein described either denied or revoked and, if so, the applicant shall describe those circumstances specifically; whether the applicant, including all partners or corporate officers, has ever been convicted of a felony and, if so, the applicant shall describe specifically those circumstances; and any additional information as may be needed by the town council in determining whether to issue such license. </w:t>
      </w:r>
    </w:p>
    <w:p>
      <w:pPr>
        <w:pStyle w:val="List2"/>
      </w:pPr>
      <w:r>
        <w:t>(5)</w:t>
        <w:tab/>
      </w:r>
      <w:r>
        <w:t xml:space="preserve">No license shall be issued for anything, or act, or premises, if the premises and building to be used for the purposes do not fully comply with all ordinances, articles, bylaws, or rules and regulations of the municipality. </w:t>
      </w:r>
    </w:p>
    <w:p>
      <w:pPr>
        <w:pStyle w:val="List2"/>
      </w:pPr>
      <w:r>
        <w:t>(6)</w:t>
        <w:tab/>
      </w:r>
      <w:r>
        <w:t xml:space="preserve">Marijuana business licenses shall be administered on a first come, first served review of completed applications received. </w:t>
      </w:r>
    </w:p>
    <w:p>
      <w:pPr>
        <w:pStyle w:val="List2"/>
      </w:pPr>
      <w:r>
        <w:t>(7)</w:t>
        <w:tab/>
      </w:r>
      <w:r>
        <w:t xml:space="preserve">The fee for marijuana business licenses shall be set by order of the town council annually. </w:t>
      </w:r>
    </w:p>
    <w:p>
      <w:pPr>
        <w:pStyle w:val="List2"/>
      </w:pPr>
      <w:r>
        <w:t>(8)</w:t>
        <w:tab/>
      </w:r>
      <w:r>
        <w:t xml:space="preserve">The town council shall, prior to granting a license and after reasonable notice to the municipality and the applicants, hold a public hearing, at which the testimony of the applicant and that of any interested members of the public shall be taken. </w:t>
      </w:r>
    </w:p>
    <w:p>
      <w:pPr>
        <w:pStyle w:val="List2"/>
      </w:pPr>
      <w:r>
        <w:t>(9)</w:t>
        <w:tab/>
      </w:r>
      <w:r>
        <w:t xml:space="preserve">The town council shall grant a license unless they find that issuance of the license will be detrimental to the public health, safety or welfare, or would violate municipal ordinances, or rules and regulations, articles or bylaws. </w:t>
      </w:r>
    </w:p>
    <w:p>
      <w:pPr>
        <w:pStyle w:val="List2"/>
      </w:pPr>
      <w:r>
        <w:t>(10)</w:t>
        <w:tab/>
      </w:r>
      <w:r>
        <w:t xml:space="preserve">A license shall be valid for one (1) year from the date of issuance and may be renewed annually upon approval by the town council. Applications for renewal shall be submitted at least ninety (90) days prior to expiration of the existing term. Any licensee who fails to submit a renewal application by the applicable deadline shall not have authority to operate until a license is granted. </w:t>
      </w:r>
    </w:p>
    <w:p>
      <w:pPr>
        <w:pStyle w:val="List2"/>
      </w:pPr>
      <w:r>
        <w:t>(11)</w:t>
        <w:tab/>
      </w:r>
      <w:r>
        <w:t xml:space="preserve">Marijuana business licenses are non-transferable. Upon sale or lease of a marijuana business to a new owner or lessor, a new license shall be obtained. </w:t>
      </w:r>
    </w:p>
    <w:p>
      <w:pPr>
        <w:pStyle w:val="List1"/>
      </w:pPr>
      <w:r>
        <w:t>(e)</w:t>
        <w:tab/>
      </w:r>
      <w:r>
        <w:rPr>
          <w:i w:val="true"/>
        </w:rPr>
        <w:t>Notifications.</w:t>
      </w:r>
      <w:r>
        <w:t xml:space="preserve"> The Town of Dexter shall be provided with copies of the relevant state licenses prior to issuance of an application and shall be notified of any changes that affect state or municipal application or license data. </w:t>
      </w:r>
    </w:p>
    <w:p>
      <w:pPr>
        <w:pStyle w:val="List1"/>
      </w:pPr>
      <w:r>
        <w:t>(f)</w:t>
        <w:tab/>
      </w:r>
      <w:r>
        <w:rPr>
          <w:i w:val="true"/>
        </w:rPr>
        <w:t>Operating requirements.</w:t>
      </w:r>
      <w:r>
        <w:t xml:space="preserve"> In order to obtain a license pursuant to this section, the licensee shall demonstrate to the town clerk and all reviewing officials that the following requirements will be met. The licensee shall comply with all of these requirements during the term of the license: </w:t>
      </w:r>
    </w:p>
    <w:p>
      <w:pPr>
        <w:pStyle w:val="List2"/>
      </w:pPr>
      <w:r>
        <w:t>(1)</w:t>
        <w:tab/>
      </w:r>
      <w:r>
        <w:rPr>
          <w:i w:val="true"/>
        </w:rPr>
        <w:t>Display of license.</w:t>
      </w:r>
      <w:r>
        <w:t xml:space="preserve"> The current license shall be displayed at all times in a conspicuous location within the premises. </w:t>
      </w:r>
    </w:p>
    <w:p>
      <w:pPr>
        <w:pStyle w:val="List2"/>
      </w:pPr>
      <w:r>
        <w:t>(2)</w:t>
        <w:tab/>
      </w:r>
      <w:r>
        <w:rPr>
          <w:i w:val="true"/>
        </w:rPr>
        <w:t>All licensed premises shall be fixed, permanent locations.</w:t>
      </w:r>
      <w:r>
        <w:t xml:space="preserve"> Licensees shall not be permitted to operate marijuana businesses in other than the licensed premises, such as at farmer's markets, farm stands, or kiosks. </w:t>
      </w:r>
    </w:p>
    <w:p>
      <w:pPr>
        <w:pStyle w:val="List2"/>
      </w:pPr>
      <w:r>
        <w:t>(3)</w:t>
        <w:tab/>
      </w:r>
      <w:r/>
      <w:r>
        <w:rPr>
          <w:i w:val="true"/>
        </w:rPr>
        <w:t>Security.</w:t>
      </w:r>
      <w:r/>
    </w:p>
    <w:p>
      <w:pPr>
        <w:pStyle w:val="List3"/>
      </w:pPr>
      <w:r>
        <w:t>a.</w:t>
        <w:tab/>
      </w:r>
      <w:r>
        <w:t xml:space="preserve">The licensed premises shall have lockable doors and windows and shall be served by an alarm system which includes automatic notification to Dexter Police Department. </w:t>
      </w:r>
    </w:p>
    <w:p>
      <w:pPr>
        <w:pStyle w:val="List3"/>
      </w:pPr>
      <w:r>
        <w:t>b.</w:t>
        <w:tab/>
      </w:r>
      <w:r>
        <w:t xml:space="preserve">The licensed premises shall have video surveillance capable of covering the exterior and interior of the facility. The video surveillance system shall be operated with continuous recording twenty-four (24) hours per day, seven (7) days per week and will be retained for a minimum duration of thirty (30) consecutive days. Such records shall be made available to law enforcement agencies when investigating a criminal complaint. </w:t>
      </w:r>
    </w:p>
    <w:p>
      <w:pPr>
        <w:pStyle w:val="List3"/>
      </w:pPr>
      <w:r>
        <w:t>c.</w:t>
        <w:tab/>
      </w:r>
      <w:r>
        <w:t xml:space="preserve">The licensed premises shall have exterior spot lights with motion sensors covering the full perimeter of the building(s) and its surroundings. </w:t>
      </w:r>
    </w:p>
    <w:p>
      <w:pPr>
        <w:pStyle w:val="List2"/>
      </w:pPr>
      <w:r>
        <w:t>(4)</w:t>
        <w:tab/>
      </w:r>
      <w:r/>
      <w:r>
        <w:rPr>
          <w:i w:val="true"/>
        </w:rPr>
        <w:t>Ventilation.</w:t>
      </w:r>
      <w:r/>
    </w:p>
    <w:p>
      <w:pPr>
        <w:pStyle w:val="List3"/>
      </w:pPr>
      <w:r>
        <w:t>a.</w:t>
        <w:tab/>
      </w:r>
      <w:r>
        <w:t xml:space="preserve">The licensed premises shall comply with all odor and air pollution standards established by the land use ordinance. </w:t>
      </w:r>
    </w:p>
    <w:p>
      <w:pPr>
        <w:pStyle w:val="List3"/>
      </w:pPr>
      <w:r>
        <w:t>b.</w:t>
        <w:tab/>
      </w:r>
      <w:r>
        <w:t xml:space="preserve">All marijuana establishments shall have an odor mitigation system installed that has been approved by a Maine licensed engineer, indicating that the system will provide odor control sufficient to ensure that no odor is perceptible off the premises. </w:t>
      </w:r>
    </w:p>
    <w:p>
      <w:pPr>
        <w:pStyle w:val="List2"/>
      </w:pPr>
      <w:r>
        <w:t>(5)</w:t>
        <w:tab/>
      </w:r>
      <w:r/>
      <w:r>
        <w:rPr>
          <w:i w:val="true"/>
        </w:rPr>
        <w:t>Governance.</w:t>
      </w:r>
      <w:r/>
    </w:p>
    <w:p>
      <w:pPr>
        <w:pStyle w:val="List3"/>
      </w:pPr>
      <w:r>
        <w:t>a.</w:t>
        <w:tab/>
      </w:r>
      <w:r>
        <w:t xml:space="preserve">A marijuana establishment shall meet all operating and other requirements of state and local law. To the extent the State of Maine has adopted, or adopts in the future, any law or regulation governing marijuana businesses that conflict in any way with the provisions of this section, the more restrictive law shall prevail. </w:t>
      </w:r>
    </w:p>
    <w:p>
      <w:pPr>
        <w:pStyle w:val="List1"/>
      </w:pPr>
      <w:r>
        <w:t>(g)</w:t>
        <w:tab/>
      </w:r>
      <w:r>
        <w:rPr>
          <w:i w:val="true"/>
        </w:rPr>
        <w:t>Denial, suspension or revocation of a license.</w:t>
      </w:r>
      <w:r>
        <w:t xml:space="preserve"> A license application for a marijuana business shall be denied by the town council, and existing license may be suspended or revoked by the town council after a notice and hearing, if applicant, or any owner of the applicant or licensee: </w:t>
      </w:r>
    </w:p>
    <w:p>
      <w:pPr>
        <w:pStyle w:val="List2"/>
      </w:pPr>
      <w:r>
        <w:t>(1)</w:t>
        <w:tab/>
      </w:r>
      <w:r>
        <w:t xml:space="preserve">Fails to meet the requirements of this section. </w:t>
      </w:r>
    </w:p>
    <w:p>
      <w:pPr>
        <w:pStyle w:val="List2"/>
      </w:pPr>
      <w:r>
        <w:t>(2)</w:t>
        <w:tab/>
      </w:r>
      <w:r>
        <w:t xml:space="preserve">Is not at least twenty-one (21) years of age. </w:t>
      </w:r>
    </w:p>
    <w:p>
      <w:pPr>
        <w:pStyle w:val="List2"/>
      </w:pPr>
      <w:r>
        <w:t>(3)</w:t>
        <w:tab/>
      </w:r>
      <w:r>
        <w:t xml:space="preserve">Is not a resident of the State of Maine. </w:t>
      </w:r>
    </w:p>
    <w:p>
      <w:pPr>
        <w:pStyle w:val="List2"/>
      </w:pPr>
      <w:r>
        <w:t>(4)</w:t>
        <w:tab/>
      </w:r>
      <w:r>
        <w:t xml:space="preserve">Has had a license for a marijuana establishment revoked by the town or by the state. </w:t>
      </w:r>
    </w:p>
    <w:p>
      <w:pPr>
        <w:pStyle w:val="List2"/>
      </w:pPr>
      <w:r>
        <w:t>(5)</w:t>
        <w:tab/>
      </w:r>
      <w:r>
        <w:t xml:space="preserve">Has not acquired all the necessary state and local approvals prior to issuance of the license. </w:t>
      </w:r>
    </w:p>
    <w:p>
      <w:pPr>
        <w:pStyle w:val="List2"/>
      </w:pPr>
      <w:r>
        <w:t>(6)</w:t>
        <w:tab/>
      </w:r>
      <w:r>
        <w:t xml:space="preserve">Has been convicted of a criminal violation arising out of operation of a marijuana business. </w:t>
      </w:r>
    </w:p>
    <w:p>
      <w:pPr>
        <w:pStyle w:val="List2"/>
      </w:pPr>
      <w:r>
        <w:t>(7)</w:t>
        <w:tab/>
      </w:r>
      <w:r>
        <w:t xml:space="preserve">Has provided false or misleading application in connection with the license application. </w:t>
      </w:r>
    </w:p>
    <w:p>
      <w:pPr>
        <w:pStyle w:val="List1"/>
      </w:pPr>
      <w:r>
        <w:t>(h)</w:t>
        <w:tab/>
      </w:r>
      <w:r>
        <w:rPr>
          <w:i w:val="true"/>
        </w:rPr>
        <w:t>Penalties.</w:t>
      </w:r>
      <w:r>
        <w:t xml:space="preserve"> This section shall be enforced by the town council or their designee. Violations of this section shall be subjected to the enforcement and penalty provisions of 30-A M.R.S.A. § 4452 and may be cause of the denial of local license renewal. </w:t>
      </w:r>
    </w:p>
    <w:p>
      <w:pPr>
        <w:pStyle w:val="HistoryNote"/>
      </w:pPr>
      <w:r>
        <w:rPr>
          <w:rStyle w:val="HistoryNote"/>
        </w:rPr>
        <w:t>(Ord. No. C2020-2, §§ 1—8, 6-11-20; Ord. No. C2021-01, § 3, 1-14-21; Ord. No. C2023-3, 2-9-23; Ord. No. C2023-04, 4-13-23)</w:t>
      </w:r>
    </w:p>
    <w:p>
      <w:pPr>
        <w:pStyle w:val="Section"/>
      </w:pPr>
      <w:r>
        <w:t>Secs. 7-58—7-80.</w:t>
      </w:r>
      <w:r>
        <w:t> </w:t>
      </w:r>
      <w:r>
        <w:t>Reserved.</w:t>
      </w:r>
    </w:p>
    <w:p>
      <w:pPr>
        <w:spacing w:before="0" w:after="0"/>
      </w:pPr>
    </w:p>
    <w:sectPr>
      <w:headerReference w:type="default" r:id="rId4"/>
      <w:footerReference w:type="default" r:id="rId5"/>
      <w:pgSz w:orient="portrait" w:w="12240" w:h="15840"/>
    </w:sectPr>
  </w:body>
</w:document>
</file>

<file path=word/footer1.xml><?xml version="1.0" encoding="utf-8"?>
<w:ftr xmlns:w="http://schemas.openxmlformats.org/wordprocessingml/2006/main">
  <w:p>
    <w:pPr>
      <w:pStyle w:val="FooterCenter"/>
      <w:pBdr>
        <w:bottom w:val="single"/>
      </w:pBdr>
    </w:pPr>
  </w:p>
  <w:p>
    <w:pPr>
      <w:pStyle w:val="FooterLeft"/>
    </w:pPr>
    <w:r>
      <w:t>Dexter, Maine, Code of Ordinances</w:t>
    </w:r>
    <w:r>
      <w:tab/>
    </w:r>
    <w:r>
      <w:rPr>
        <w:rFonts w:ascii="Consolas" w:hAnsi="Consolas" w:cs="Consolas" w:eastAsia="Consolas"/>
        <w:sz w:val="12"/>
      </w:rPr>
      <w:t xml:space="preserve">   Created: 2024-10-30 15:01:24 [EST]</w:t>
    </w:r>
  </w:p>
  <w:p>
    <w:pPr>
      <w:pStyle w:val="FooterLeft"/>
    </w:pPr>
    <w:r>
      <w:t>(Supp. No. 41)</w:t>
    </w:r>
  </w:p>
  <w:p>
    <w:pPr>
      <w:pStyle w:val="FooterCenter"/>
      <w:jc w:val="center"/>
    </w:pPr>
    <w:r>
      <w:cr/>
    </w:r>
    <w:r>
      <w:t xml:space="preserve">Page </w:t>
    </w:r>
    <w:fldSimple w:instr="PAGE \* MERGEFORMAT"/>
    <w:r>
      <w:t xml:space="preserve"> of </w:t>
    </w:r>
    <w:fldSimple w:instr="NUMPAGES \* MERGEFORMAT"/>
  </w:p>
</w:ftr>
</file>

<file path=word/footnotes.xml><?xml version="1.0" encoding="utf-8"?>
<w:footnotes xmlns:w="http://schemas.openxmlformats.org/wordprocessingml/2006/main">
  <w:footnote w:type="normal" w:id="1">
    <w:p>
      <w:pPr>
        <w:pStyle w:val="Hang1"/>
      </w:pPr>
      <w:r>
        <w:rPr>
          <w:rStyle w:val="FootnoteReference"/>
        </w:rPr>
        <w:footnoteRef/>
      </w:r>
      <w:r>
        <w:t>Editor's note(s)—</w:t>
      </w:r>
      <w:r>
        <w:rPr>
          <w:rStyle w:val="Hang1"/>
        </w:rPr>
        <w:t xml:space="preserve">Ord. No. C2015-14, adopted Aug. 13, 2015, amended Ch. 7 in its entirety to read as herein set out. Former Ch. 7, §§ 7-1—7-62, pertained to similar subject matter, and derived from: Ord. of June 14, 1949; Ord. No. C84-2, §§ 101—106, 201—213, adopted May 3, 1984; Ord. No. C90-22, adopted Feb. 7, 1991; Ord. No. 090-24, adopted Jan. 3, 1991; Ord. No. C97-4, adopted Apr. 10, 1997; Ord. No. C97-7, adopted May 8, 1997; Ord. No. C97-10, adopted Aug. 14, 1997; Ord. No. C2002-18, adopted June 13, 2002; Ord. No. C2002-19, adopted June 13, 2002; and Ord. No. C2005-1, adopted Jan. 13, 2005. </w:t>
      </w:r>
    </w:p>
    <w:p>
      <w:pPr>
        <w:pStyle w:val="Hang1"/>
      </w:pPr>
      <w:r>
        <w:t>Cross reference(s)—</w:t>
      </w:r>
      <w:r>
        <w:rPr>
          <w:rStyle w:val="Hang1"/>
        </w:rPr>
        <w:t xml:space="preserve">Administration, </w:t>
      </w:r>
      <w:r>
        <w:t>Ch. 2</w:t>
      </w:r>
      <w:r>
        <w:rPr>
          <w:rStyle w:val="Hang1"/>
        </w:rPr>
        <w:t xml:space="preserve">; animals, </w:t>
      </w:r>
      <w:r>
        <w:t>Ch. 3</w:t>
      </w:r>
      <w:r>
        <w:rPr>
          <w:rStyle w:val="Hang1"/>
        </w:rPr>
        <w:t xml:space="preserve">; development permit required in special flood hazard areas, § 4-41; motor vehicles and traffic, </w:t>
      </w:r>
      <w:r>
        <w:t>Ch. 9</w:t>
      </w:r>
      <w:r>
        <w:rPr>
          <w:rStyle w:val="Hang1"/>
        </w:rPr>
        <w:t xml:space="preserve">; hazardous waste restrictions and regulations, § 10-51 et seq.; streets, sidewalks and other public places, </w:t>
      </w:r>
      <w:r>
        <w:t>Ch. 11</w:t>
      </w:r>
      <w:r>
        <w:rPr>
          <w:rStyle w:val="Hang1"/>
        </w:rPr>
        <w:t xml:space="preserve">, exhibits, displays, etc., prohibited on public sidewalks of a commercial district, </w:t>
      </w:r>
      <w:r>
        <w:t>§ 11-42</w:t>
      </w:r>
      <w:r>
        <w:rPr>
          <w:rStyle w:val="Hang1"/>
        </w:rPr>
        <w:t xml:space="preserve">, shoreland zoning, App. A; land use standards, App. A. </w:t>
      </w:r>
      <w:r>
        <w:t>§ 11</w:t>
      </w:r>
      <w:r>
        <w:rPr>
          <w:rStyle w:val="Hang1"/>
        </w:rPr>
        <w:t xml:space="preserve">. </w:t>
      </w:r>
    </w:p>
    <w:p>
      <w:pPr>
        <w:pStyle w:val="Hang1"/>
      </w:pPr>
      <w:r>
        <w:t>State law reference(s)—</w:t>
      </w:r>
      <w:r>
        <w:rPr>
          <w:rStyle w:val="Hang1"/>
        </w:rPr>
        <w:t xml:space="preserve">Regulations, licenses and permits, 30-A M.R.S.A. § 3751 et seq. </w:t>
      </w:r>
    </w:p>
  </w:footnote>
</w:footnotes>
</file>

<file path=word/header1.xml><?xml version="1.0" encoding="utf-8"?>
<w:hdr xmlns:w="http://schemas.openxmlformats.org/wordprocessingml/2006/main">
  <w:p>
    <w:pPr>
      <w:pStyle w:val="HeaderCenter"/>
    </w:pPr>
    <w:r>
      <w:t>PART II - CODE OF ORDINANCES</w:t>
    </w:r>
    <w:r>
      <w:br w:type="textWrapping"/>
    </w:r>
    <w:r>
      <w:t>Chapter 7 LICENSES, PERMITS AND BUSINESS REGULATIONS</w:t>
    </w:r>
    <w:r>
      <w:br w:type="textWrapping"/>
    </w:r>
  </w:p>
  <w:p>
    <w:pPr>
      <w:pStyle w:val="HeaderCenter"/>
      <w:pBdr>
        <w:top w:val="single"/>
      </w:pBdr>
    </w:pPr>
  </w:p>
</w:hdr>
</file>

<file path=word/numbering.xml><?xml version="1.0" encoding="utf-8"?>
<w:numbering xmlns:w="http://schemas.openxmlformats.org/wordprocessingml/2006/main">
  <w:abstract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abstractNumId="1" w15:restartNumberingAfterBreak="0">
    <w:nsid w:val="FFFFFF7D"/>
    <w:multiLevelType w:val="singleLevel"/>
    <w:tmpl w:val="DEC82B8C"/>
    <w:lvl w:ilvl="0">
      <w:start w:val="1"/>
      <w:numFmt w:val="decimal"/>
      <w:pStyle w:val="ListNumber4"/>
      <w:lvlText w:val="%1."/>
      <w:lvlJc w:val="left"/>
      <w:pPr>
        <w:tabs>
          <w:tab w:val="num" w:pos="1440"/>
        </w:tabs>
        <w:ind w:left="1440" w:hanging="360"/>
      </w:pPr>
    </w:lvl>
  </w:abstractNum>
  <w:abstract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abstractNumId="2" w15:restartNumberingAfterBreak="0">
    <w:nsid w:val="FFFFFF7E"/>
    <w:multiLevelType w:val="singleLevel"/>
    <w:tmpl w:val="4AA2A858"/>
    <w:lvl w:ilvl="0">
      <w:start w:val="1"/>
      <w:numFmt w:val="decimal"/>
      <w:pStyle w:val="ListNumber3"/>
      <w:lvlText w:val="%1."/>
      <w:lvlJc w:val="left"/>
      <w:pPr>
        <w:tabs>
          <w:tab w:val="num" w:pos="1080"/>
        </w:tabs>
        <w:ind w:left="1080" w:hanging="360"/>
      </w:pPr>
    </w:lvl>
  </w:abstractNum>
  <w:abstract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abstractNumId="3" w15:restartNumberingAfterBreak="0">
    <w:nsid w:val="FFFFFF7F"/>
    <w:multiLevelType w:val="singleLevel"/>
    <w:tmpl w:val="13725F1E"/>
    <w:lvl w:ilvl="0">
      <w:start w:val="1"/>
      <w:numFmt w:val="decimal"/>
      <w:pStyle w:val="ListNumber2"/>
      <w:lvlText w:val="%1."/>
      <w:lvlJc w:val="left"/>
      <w:pPr>
        <w:tabs>
          <w:tab w:val="num" w:pos="720"/>
        </w:tabs>
        <w:ind w:left="720" w:hanging="360"/>
      </w:pPr>
    </w:lvl>
  </w:abstractNum>
  <w:abstract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abstractNumId="4" w15:restartNumberingAfterBreak="0">
    <w:nsid w:val="FFFFFF80"/>
    <w:multiLevelType w:val="singleLevel"/>
    <w:tmpl w:val="313C3FF8"/>
    <w:lvl w:ilvl="0">
      <w:start w:val="1"/>
      <w:numFmt w:val="bullet"/>
      <w:pStyle w:val="ListBullet5"/>
      <w:lvlText w:val=""/>
      <w:lvlJc w:val="left"/>
      <w:pPr>
        <w:tabs>
          <w:tab w:val="num" w:pos="1800"/>
        </w:tabs>
        <w:ind w:left="1800" w:hanging="360"/>
      </w:pPr>
      <w:rPr>
        <w:rFonts w:ascii="Symbol" w:hAnsi="Symbol" w:hint="default"/>
      </w:rPr>
    </w:lvl>
  </w:abstractNum>
  <w:abstract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abstractNumId="5" w15:restartNumberingAfterBreak="0">
    <w:nsid w:val="FFFFFF81"/>
    <w:multiLevelType w:val="singleLevel"/>
    <w:tmpl w:val="9DBEE7B6"/>
    <w:lvl w:ilvl="0">
      <w:start w:val="1"/>
      <w:numFmt w:val="bullet"/>
      <w:pStyle w:val="ListBullet4"/>
      <w:lvlText w:val=""/>
      <w:lvlJc w:val="left"/>
      <w:pPr>
        <w:tabs>
          <w:tab w:val="num" w:pos="1440"/>
        </w:tabs>
        <w:ind w:left="1440" w:hanging="360"/>
      </w:pPr>
      <w:rPr>
        <w:rFonts w:ascii="Symbol" w:hAnsi="Symbol" w:hint="default"/>
      </w:rPr>
    </w:lvl>
  </w:abstractNum>
  <w:abstract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abstractNumId="6" w15:restartNumberingAfterBreak="0">
    <w:nsid w:val="FFFFFF82"/>
    <w:multiLevelType w:val="singleLevel"/>
    <w:tmpl w:val="1488E834"/>
    <w:lvl w:ilvl="0">
      <w:start w:val="1"/>
      <w:numFmt w:val="bullet"/>
      <w:pStyle w:val="ListBullet3"/>
      <w:lvlText w:val=""/>
      <w:lvlJc w:val="left"/>
      <w:pPr>
        <w:tabs>
          <w:tab w:val="num" w:pos="1080"/>
        </w:tabs>
        <w:ind w:left="1080" w:hanging="360"/>
      </w:pPr>
      <w:rPr>
        <w:rFonts w:ascii="Symbol" w:hAnsi="Symbol" w:hint="default"/>
      </w:rPr>
    </w:lvl>
  </w:abstractNum>
  <w:abstract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abstractNumId="7" w15:restartNumberingAfterBreak="0">
    <w:nsid w:val="FFFFFF83"/>
    <w:multiLevelType w:val="singleLevel"/>
    <w:tmpl w:val="E6DAEC92"/>
    <w:lvl w:ilvl="0">
      <w:start w:val="1"/>
      <w:numFmt w:val="bullet"/>
      <w:pStyle w:val="ListBullet2"/>
      <w:lvlText w:val=""/>
      <w:lvlJc w:val="left"/>
      <w:pPr>
        <w:tabs>
          <w:tab w:val="num" w:pos="720"/>
        </w:tabs>
        <w:ind w:left="720" w:hanging="360"/>
      </w:pPr>
      <w:rPr>
        <w:rFonts w:ascii="Symbol" w:hAnsi="Symbol" w:hint="default"/>
      </w:rPr>
    </w:lvl>
  </w:abstractNum>
  <w:abstract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abstractNumId="8" w15:restartNumberingAfterBreak="0">
    <w:nsid w:val="FFFFFF88"/>
    <w:multiLevelType w:val="singleLevel"/>
    <w:tmpl w:val="137E0A76"/>
    <w:lvl w:ilvl="0">
      <w:start w:val="1"/>
      <w:numFmt w:val="decimal"/>
      <w:pStyle w:val="ListNumber"/>
      <w:lvlText w:val="%1."/>
      <w:lvlJc w:val="left"/>
      <w:pPr>
        <w:tabs>
          <w:tab w:val="num" w:pos="360"/>
        </w:tabs>
        <w:ind w:left="360" w:hanging="360"/>
      </w:pPr>
    </w:lvl>
  </w:abstractNum>
  <w:abstract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abstractNumId="9" w15:restartNumberingAfterBreak="0">
    <w:nsid w:val="FFFFFF89"/>
    <w:multiLevelType w:val="singleLevel"/>
    <w:tmpl w:val="40EE34E6"/>
    <w:lvl w:ilvl="0">
      <w:start w:val="1"/>
      <w:numFmt w:val="bullet"/>
      <w:pStyle w:val="ListBullet"/>
      <w:lvlText w:val=""/>
      <w:lvlJc w:val="left"/>
      <w:pPr>
        <w:tabs>
          <w:tab w:val="num" w:pos="360"/>
        </w:tabs>
        <w:ind w:left="360" w:hanging="360"/>
      </w:pPr>
      <w:rPr>
        <w:rFonts w:ascii="Symbol" w:hAnsi="Symbol" w:hint="default"/>
      </w:rPr>
    </w:lvl>
  </w:abstract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1">
    <w:abstractNumId w:val="9"/>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2">
    <w:abstractNumId w:val="7"/>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3">
    <w:abstractNumId w:val="6"/>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4">
    <w:abstractNumId w:val="5"/>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5">
    <w:abstractNumId w:val="4"/>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6">
    <w:abstractNumId w:val="8"/>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7">
    <w:abstractNumId w:val="3"/>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8">
    <w:abstractNumId w:val="2"/>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9">
    <w:abstractNumId w:val="1"/>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10">
    <w:abstractNumId w:val="0"/>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11">
    <w:abstractNumId w:val="8"/>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12">
    <w:abstractNumId w:val="8"/>
  </w:num>
  <w:num xmlns:aink="http://schemas.microsoft.com/office/drawing/2016/ink" xmlns:w16se="http://schemas.microsoft.com/office/word/2015/wordml/symex" xmlns:wp14="http://schemas.microsoft.com/office/word/2010/wordprocessingDrawing" xmlns:w16sdtdh="http://schemas.microsoft.com/office/word/2020/wordml/sdtdatahash" xmlns:am3d="http://schemas.microsoft.com/office/drawing/2017/model3d" xmlns:mc="http://schemas.openxmlformats.org/markup-compatibility/2006" xmlns:w10="urn:schemas-microsoft-com:office:word" xmlns:wp="http://schemas.openxmlformats.org/drawingml/2006/wordprocessingDrawing" xmlns:w15="http://schemas.microsoft.com/office/word/2012/wordml" xmlns:w14="http://schemas.microsoft.com/office/word/2010/wordml" xmlns:cx2="http://schemas.microsoft.com/office/drawing/2015/10/21/chartex" xmlns:cx1="http://schemas.microsoft.com/office/drawing/2015/9/8/chartex" xmlns:w16="http://schemas.microsoft.com/office/word/2018/wordml" xmlns:cx4="http://schemas.microsoft.com/office/drawing/2016/5/10/chartex" xmlns:cx3="http://schemas.microsoft.com/office/drawing/2016/5/9/chartex" xmlns:cx6="http://schemas.microsoft.com/office/drawing/2016/5/12/chartex" xmlns:cx5="http://schemas.microsoft.com/office/drawing/2016/5/11/chartex" xmlns:cx8="http://schemas.microsoft.com/office/drawing/2016/5/14/chartex" xmlns:cx7="http://schemas.microsoft.com/office/drawing/2016/5/13/chartex" xmlns:w16cex="http://schemas.microsoft.com/office/word/2018/wordml/cex" xmlns:wpc="http://schemas.microsoft.com/office/word/2010/wordprocessingCanvas" xmlns:m="http://schemas.openxmlformats.org/officeDocument/2006/math" xmlns:o="urn:schemas-microsoft-com:office:office" xmlns:wpg="http://schemas.microsoft.com/office/word/2010/wordprocessingGroup" xmlns:wne="http://schemas.microsoft.com/office/word/2006/wordml" xmlns:wpi="http://schemas.microsoft.com/office/word/2010/wordprocessingInk" xmlns:r="http://schemas.openxmlformats.org/officeDocument/2006/relationships" xmlns:cx="http://schemas.microsoft.com/office/drawing/2014/chartex" xmlns:v="urn:schemas-microsoft-com:vml" xmlns:wps="http://schemas.microsoft.com/office/word/2010/wordprocessingShape" xmlns:w16cid="http://schemas.microsoft.com/office/word/2016/wordml/cid" w:numId="13">
    <w:abstractNumId w:val="8"/>
  </w:num>
</w:numbering>
</file>

<file path=word/settings.xml><?xml version="1.0" encoding="utf-8"?>
<w:settings xmlns:w="http://schemas.openxmlformats.org/wordprocessingml/2006/main"/>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before="40" w:after="120"/>
        <w:jc w:val="both"/>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3" w:unhideWhenUsed="1" w:qFormat="1"/>
    <w:lsdException w:name="heading 3" w:semiHidden="1" w:uiPriority="4" w:unhideWhenUsed="1" w:qFormat="1"/>
    <w:lsdException w:name="heading 4" w:semiHidden="1" w:uiPriority="5" w:unhideWhenUsed="1" w:qFormat="1"/>
    <w:lsdException w:name="heading 5" w:semiHidden="1" w:uiPriority="6" w:unhideWhenUsed="1" w:qFormat="1"/>
    <w:lsdException w:name="heading 6" w:semiHidden="1" w:uiPriority="19" w:unhideWhenUsed="1" w:qFormat="1"/>
    <w:lsdException w:name="heading 7" w:semiHidden="1" w:uiPriority="19" w:unhideWhenUsed="1"/>
    <w:lsdException w:name="heading 8" w:semiHidden="1" w:uiPriority="19" w:unhideWhenUsed="1"/>
    <w:lsdException w:name="heading 9" w:semiHidden="1" w:uiPriority="1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qFormat="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qFormat="1"/>
    <w:lsdException w:name="List 3" w:uiPriority="2" w:qFormat="1"/>
    <w:lsdException w:name="List 4" w:uiPriority="3" w:qFormat="1"/>
    <w:lsdException w:name="List 5" w:uiPriority="4" w:qFormat="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qFormat="1"/>
    <w:lsdException w:name="List Number 5" w:semiHidden="1" w:unhideWhenUsed="1" w:qFormat="1"/>
    <w:lsdException w:name="Title" w:semiHidden="1" w:uiPriority="12" w:unhideWhenUsed="1"/>
    <w:lsdException w:name="Closing" w:semiHidden="1"/>
    <w:lsdException w:name="Signature" w:semiHidden="1" w:unhideWhenUsed="1"/>
    <w:lsdException w:name="Default Paragraph Font" w:semiHidden="1" w:uiPriority="1" w:unhideWhenUsed="1"/>
    <w:lsdException w:name="Body Text" w:semiHidden="1"/>
    <w:lsdException w:name="Body Text Indent" w:semiHidden="1"/>
    <w:lsdException w:name="List Continue" w:semiHidden="1" w:unhideWhenUsed="1"/>
    <w:lsdException w:name="List Continue 2" w:semiHidden="1" w:unhideWhenUsed="1"/>
    <w:lsdException w:name="List Continue 3" w:semiHidden="1" w:unhideWhenUsed="1" w:qFormat="1"/>
    <w:lsdException w:name="List Continue 4" w:semiHidden="1" w:unhideWhenUsed="1" w:qFormat="1"/>
    <w:lsdException w:name="List Continue 5" w:semiHidden="1" w:unhideWhenUsed="1" w:qFormat="1"/>
    <w:lsdException w:name="Message Header" w:semiHidden="1" w:unhideWhenUsed="1"/>
    <w:lsdException w:name="Subtitle" w:semiHidden="1" w:uiPriority="87" w:unhideWhenUsed="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semiHidden="1" w:uiPriority="12" w:qFormat="1"/>
    <w:lsdException w:name="Emphasis" w:semiHidden="1" w:uiPriority="1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98" w:qFormat="1"/>
    <w:lsdException w:name="Intense Quote" w:semiHidden="1" w:uiPriority="98"/>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uiPriority="98"/>
    <w:lsdException w:name="Subtle Reference" w:semiHidden="1"/>
    <w:lsdException w:name="Intense Reference" w:semiHidden="1" w:uiPriority="98"/>
    <w:lsdException w:name="Book Title" w:semiHidden="1" w:uiPriority="84" w:unhideWhenUsed="1" w:qFormat="1"/>
    <w:lsdException w:name="Bibliography" w:semiHidden="1" w:uiPriority="98" w:unhideWhenUsed="1"/>
    <w:lsdException w:name="TOC Heading" w:semiHidden="1" w:uiPriority="6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emiHidden/>
    <w:qFormat/>
    <w:rsid w:val="008C7D17"/>
    <w:pPr>
      <w:jc w:val="left"/>
    </w:pPr>
    <w:rPr>
      <w:rFonts w:ascii="Calibri" w:hAnsi="Calibri"/>
      <w:sz w:val="20"/>
    </w:rPr>
  </w:style>
  <w:style w:type="paragraph" w:styleId="Heading1">
    <w:name w:val="heading 1"/>
    <w:basedOn w:val="Normal"/>
    <w:next w:val="Block1"/>
    <w:link w:val="Heading1Char"/>
    <w:uiPriority w:val="1"/>
    <w:qFormat/>
    <w:rsid w:val="00902A07"/>
    <w:pPr>
      <w:keepNext/>
      <w:keepLines/>
      <w:spacing w:before="120" w:after="240" w:line="276" w:lineRule="auto"/>
      <w:jc w:val="center"/>
      <w:outlineLvl w:val="0"/>
    </w:pPr>
    <w:rPr>
      <w:b/>
      <w:sz w:val="32"/>
      <w:szCs w:val="32"/>
    </w:rPr>
  </w:style>
  <w:style w:type="paragraph" w:styleId="Heading2">
    <w:name w:val="heading 2"/>
    <w:basedOn w:val="Heading1"/>
    <w:next w:val="Block1"/>
    <w:link w:val="Heading2Char"/>
    <w:uiPriority w:val="1"/>
    <w:qFormat/>
    <w:rsid w:val="00E30E8D"/>
    <w:pPr>
      <w:outlineLvl w:val="1"/>
    </w:pPr>
    <w:rPr>
      <w:rFonts w:eastAsia="Times New Roman"/>
      <w:sz w:val="28"/>
    </w:rPr>
  </w:style>
  <w:style w:type="paragraph" w:styleId="Heading3">
    <w:name w:val="heading 3"/>
    <w:basedOn w:val="Heading2"/>
    <w:next w:val="Block1"/>
    <w:link w:val="Heading3Char"/>
    <w:uiPriority w:val="1"/>
    <w:qFormat/>
    <w:rsid w:val="00E30E8D"/>
    <w:pPr>
      <w:spacing w:after="220"/>
      <w:outlineLvl w:val="2"/>
    </w:pPr>
    <w:rPr>
      <w:rFonts w:eastAsiaTheme="majorEastAsia" w:cstheme="majorBidi"/>
      <w:i/>
      <w:szCs w:val="24"/>
    </w:rPr>
  </w:style>
  <w:style w:type="paragraph" w:styleId="Heading4">
    <w:name w:val="heading 4"/>
    <w:basedOn w:val="Heading3"/>
    <w:next w:val="Block1"/>
    <w:link w:val="Heading4Char"/>
    <w:uiPriority w:val="1"/>
    <w:qFormat/>
    <w:rsid w:val="00E30E8D"/>
    <w:pPr>
      <w:spacing w:after="200"/>
      <w:outlineLvl w:val="3"/>
    </w:pPr>
    <w:rPr>
      <w:b w:val="0"/>
      <w:iCs/>
    </w:rPr>
  </w:style>
  <w:style w:type="paragraph" w:styleId="Heading5">
    <w:name w:val="heading 5"/>
    <w:basedOn w:val="Heading4"/>
    <w:next w:val="Block1"/>
    <w:link w:val="Heading5Char"/>
    <w:uiPriority w:val="1"/>
    <w:qFormat/>
    <w:rsid w:val="00AA253E"/>
    <w:pPr>
      <w:outlineLvl w:val="4"/>
    </w:pPr>
    <w:rPr>
      <w:b/>
      <w:i w:val="0"/>
      <w:sz w:val="26"/>
    </w:rPr>
  </w:style>
  <w:style w:type="paragraph" w:styleId="Heading6">
    <w:name w:val="heading 6"/>
    <w:basedOn w:val="Heading5"/>
    <w:next w:val="Block1"/>
    <w:link w:val="Heading6Char"/>
    <w:uiPriority w:val="1"/>
    <w:qFormat/>
    <w:rsid w:val="00AA253E"/>
    <w:pPr>
      <w:outlineLvl w:val="5"/>
    </w:pPr>
    <w:rPr>
      <w:i/>
    </w:rPr>
  </w:style>
  <w:style w:type="paragraph" w:styleId="Heading7">
    <w:name w:val="heading 7"/>
    <w:basedOn w:val="Heading6"/>
    <w:next w:val="Block1"/>
    <w:link w:val="Heading7Char"/>
    <w:uiPriority w:val="1"/>
    <w:rsid w:val="00AA253E"/>
    <w:pPr>
      <w:spacing w:after="180"/>
      <w:outlineLvl w:val="6"/>
    </w:pPr>
    <w:rPr>
      <w:b w:val="0"/>
      <w:iCs w:val="0"/>
    </w:rPr>
  </w:style>
  <w:style w:type="paragraph" w:styleId="Heading8">
    <w:name w:val="heading 8"/>
    <w:basedOn w:val="Heading7"/>
    <w:next w:val="Block1"/>
    <w:link w:val="Heading8Char"/>
    <w:uiPriority w:val="1"/>
    <w:rsid w:val="00AA253E"/>
    <w:pPr>
      <w:outlineLvl w:val="7"/>
    </w:pPr>
    <w:rPr>
      <w:b/>
      <w:i w:val="0"/>
      <w:sz w:val="24"/>
      <w:szCs w:val="21"/>
    </w:rPr>
  </w:style>
  <w:style w:type="paragraph" w:styleId="Heading9">
    <w:name w:val="heading 9"/>
    <w:basedOn w:val="Heading8"/>
    <w:next w:val="Block1"/>
    <w:link w:val="Heading9Char"/>
    <w:uiPriority w:val="1"/>
    <w:rsid w:val="00AA253E"/>
    <w:pPr>
      <w:spacing w:after="160"/>
      <w:outlineLvl w:val="8"/>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1"/>
    <w:rsid w:val="00902A07"/>
    <w:rPr>
      <w:rFonts w:ascii="Calibri" w:hAnsi="Calibri"/>
      <w:b/>
      <w:sz w:val="32"/>
      <w:szCs w:val="32"/>
    </w:rPr>
  </w:style>
  <w:style w:type="paragraph" w:styleId="NoSpacing">
    <w:name w:val="No Spacing"/>
    <w:basedOn w:val="Normal"/>
    <w:uiPriority w:val="99"/>
    <w:unhideWhenUsed/>
    <w:rsid w:val="00DA65D3"/>
    <w:pPr>
      <w:spacing w:after="0"/>
      <w:contextualSpacing/>
    </w:pPr>
  </w:style>
  <w:style w:type="character" w:customStyle="1" w:styleId="Heading2Char">
    <w:name w:val="Heading 2 Char"/>
    <w:basedOn w:val="DefaultParagraphFont"/>
    <w:link w:val="Heading2"/>
    <w:uiPriority w:val="1"/>
    <w:rsid w:val="00E30E8D"/>
    <w:rPr>
      <w:rFonts w:asciiTheme="majorHAnsi" w:eastAsia="Times New Roman" w:hAnsiTheme="majorHAnsi"/>
      <w:b/>
      <w:sz w:val="28"/>
      <w:szCs w:val="32"/>
    </w:rPr>
  </w:style>
  <w:style w:type="character" w:customStyle="1" w:styleId="Heading3Char">
    <w:name w:val="Heading 3 Char"/>
    <w:basedOn w:val="DefaultParagraphFont"/>
    <w:link w:val="Heading3"/>
    <w:uiPriority w:val="1"/>
    <w:rsid w:val="00E30E8D"/>
    <w:rPr>
      <w:rFonts w:asciiTheme="majorHAnsi" w:eastAsiaTheme="majorEastAsia" w:hAnsiTheme="majorHAnsi" w:cstheme="majorBidi"/>
      <w:b/>
      <w:i/>
      <w:sz w:val="28"/>
    </w:rPr>
  </w:style>
  <w:style w:type="paragraph" w:styleId="ListParagraph">
    <w:name w:val="List Paragraph"/>
    <w:basedOn w:val="Normal"/>
    <w:uiPriority w:val="98"/>
    <w:semiHidden/>
    <w:qFormat/>
    <w:rsid w:val="00100CA2"/>
    <w:pPr>
      <w:ind w:left="475" w:hanging="475"/>
    </w:pPr>
  </w:style>
  <w:style w:type="character" w:customStyle="1" w:styleId="Heading4Char">
    <w:name w:val="Heading 4 Char"/>
    <w:basedOn w:val="DefaultParagraphFont"/>
    <w:link w:val="Heading4"/>
    <w:uiPriority w:val="1"/>
    <w:rsid w:val="00E30E8D"/>
    <w:rPr>
      <w:rFonts w:asciiTheme="majorHAnsi" w:eastAsiaTheme="majorEastAsia" w:hAnsiTheme="majorHAnsi" w:cstheme="majorBidi"/>
      <w:i/>
      <w:iCs/>
      <w:sz w:val="28"/>
    </w:rPr>
  </w:style>
  <w:style w:type="character" w:customStyle="1" w:styleId="Heading5Char">
    <w:name w:val="Heading 5 Char"/>
    <w:basedOn w:val="DefaultParagraphFont"/>
    <w:link w:val="Heading5"/>
    <w:uiPriority w:val="1"/>
    <w:rsid w:val="000C64D5"/>
    <w:rPr>
      <w:rFonts w:asciiTheme="majorHAnsi" w:eastAsiaTheme="majorEastAsia" w:hAnsiTheme="majorHAnsi" w:cstheme="majorBidi"/>
      <w:b/>
      <w:iCs/>
      <w:sz w:val="26"/>
    </w:rPr>
  </w:style>
  <w:style w:type="paragraph" w:customStyle="1" w:styleId="Section">
    <w:name w:val="Section"/>
    <w:basedOn w:val="Heading1"/>
    <w:next w:val="Block1"/>
    <w:uiPriority w:val="1"/>
    <w:qFormat/>
    <w:rsid w:val="002C5684"/>
    <w:pPr>
      <w:spacing w:before="180" w:after="120"/>
      <w:ind w:left="950" w:hanging="950"/>
      <w:jc w:val="left"/>
      <w:outlineLvl w:val="5"/>
    </w:pPr>
    <w:rPr>
      <w:sz w:val="24"/>
    </w:rPr>
  </w:style>
  <w:style w:type="paragraph" w:customStyle="1" w:styleId="List1">
    <w:name w:val="List 1"/>
    <w:basedOn w:val="Hang1"/>
    <w:uiPriority w:val="5"/>
    <w:qFormat/>
    <w:rsid w:val="00D62A49"/>
  </w:style>
  <w:style w:type="paragraph" w:customStyle="1" w:styleId="ListParagraph2">
    <w:name w:val="List Paragraph 2"/>
    <w:basedOn w:val="List1"/>
    <w:uiPriority w:val="98"/>
    <w:semiHidden/>
    <w:unhideWhenUsed/>
    <w:qFormat/>
    <w:rsid w:val="005E2F72"/>
    <w:pPr>
      <w:ind w:left="950"/>
    </w:pPr>
  </w:style>
  <w:style w:type="paragraph" w:customStyle="1" w:styleId="HistoryNote">
    <w:name w:val="History Note"/>
    <w:basedOn w:val="Block1"/>
    <w:next w:val="Section"/>
    <w:uiPriority w:val="2"/>
    <w:qFormat/>
    <w:rsid w:val="00DA65D3"/>
    <w:pPr>
      <w:spacing w:after="240"/>
    </w:pPr>
  </w:style>
  <w:style w:type="paragraph" w:styleId="FootnoteText">
    <w:name w:val="footnote text"/>
    <w:basedOn w:val="Normal"/>
    <w:link w:val="FootnoteTextChar"/>
    <w:uiPriority w:val="99"/>
    <w:unhideWhenUsed/>
    <w:rsid w:val="00DA65D3"/>
    <w:pPr>
      <w:spacing w:after="0"/>
    </w:pPr>
    <w:rPr>
      <w:szCs w:val="20"/>
    </w:rPr>
  </w:style>
  <w:style w:type="character" w:customStyle="1" w:styleId="FootnoteTextChar">
    <w:name w:val="Footnote Text Char"/>
    <w:basedOn w:val="DefaultParagraphFont"/>
    <w:link w:val="FootnoteText"/>
    <w:uiPriority w:val="99"/>
    <w:rsid w:val="00DA65D3"/>
    <w:rPr>
      <w:rFonts w:ascii="Calibri" w:hAnsi="Calibri"/>
      <w:sz w:val="20"/>
      <w:szCs w:val="20"/>
    </w:rPr>
  </w:style>
  <w:style w:type="character" w:styleId="FootnoteReference">
    <w:name w:val="footnote reference"/>
    <w:basedOn w:val="DefaultParagraphFont"/>
    <w:uiPriority w:val="99"/>
    <w:semiHidden/>
    <w:unhideWhenUsed/>
    <w:rsid w:val="005E2F72"/>
    <w:rPr>
      <w:vertAlign w:val="superscript"/>
    </w:rPr>
  </w:style>
  <w:style w:type="paragraph" w:customStyle="1" w:styleId="HeaderCenter">
    <w:name w:val="Header Center"/>
    <w:basedOn w:val="Normal"/>
    <w:qFormat/>
    <w:rsid w:val="00ED49E0"/>
    <w:pPr>
      <w:spacing w:after="40"/>
      <w:jc w:val="center"/>
    </w:pPr>
  </w:style>
  <w:style w:type="paragraph" w:customStyle="1" w:styleId="FooterLeft">
    <w:name w:val="Footer Left"/>
    <w:basedOn w:val="Normal"/>
    <w:qFormat/>
    <w:rsid w:val="004D5413"/>
    <w:pPr>
      <w:tabs>
        <w:tab w:val="right" w:pos="9360"/>
      </w:tabs>
      <w:spacing w:after="40"/>
    </w:pPr>
    <w:rPr>
      <w:sz w:val="18"/>
    </w:rPr>
  </w:style>
  <w:style w:type="paragraph" w:customStyle="1" w:styleId="FooterCenter">
    <w:name w:val="Footer Center"/>
    <w:basedOn w:val="FooterLeft"/>
    <w:qFormat/>
    <w:rsid w:val="001D7A41"/>
    <w:pPr>
      <w:jc w:val="center"/>
    </w:pPr>
  </w:style>
  <w:style w:type="paragraph" w:styleId="TOC1">
    <w:name w:val="toc 1"/>
    <w:basedOn w:val="Normal"/>
    <w:next w:val="TOC2"/>
    <w:uiPriority w:val="69"/>
    <w:unhideWhenUsed/>
    <w:qFormat/>
    <w:rsid w:val="00DA65D3"/>
    <w:pPr>
      <w:tabs>
        <w:tab w:val="right" w:leader="dot" w:pos="9000"/>
      </w:tabs>
      <w:spacing w:after="60" w:line="276" w:lineRule="auto"/>
      <w:ind w:left="245" w:hanging="245"/>
    </w:pPr>
  </w:style>
  <w:style w:type="paragraph" w:styleId="TOC2">
    <w:name w:val="toc 2"/>
    <w:basedOn w:val="TOC1"/>
    <w:next w:val="TOC3"/>
    <w:uiPriority w:val="69"/>
    <w:unhideWhenUsed/>
    <w:qFormat/>
    <w:rsid w:val="000267BA"/>
    <w:pPr>
      <w:ind w:left="720"/>
    </w:pPr>
  </w:style>
  <w:style w:type="paragraph" w:styleId="TOC3">
    <w:name w:val="toc 3"/>
    <w:basedOn w:val="TOC2"/>
    <w:next w:val="TOC4"/>
    <w:uiPriority w:val="69"/>
    <w:unhideWhenUsed/>
    <w:qFormat/>
    <w:rsid w:val="000267BA"/>
    <w:pPr>
      <w:ind w:left="1195"/>
    </w:pPr>
  </w:style>
  <w:style w:type="paragraph" w:styleId="TOC4">
    <w:name w:val="toc 4"/>
    <w:basedOn w:val="TOC3"/>
    <w:next w:val="TOC5"/>
    <w:uiPriority w:val="69"/>
    <w:unhideWhenUsed/>
    <w:qFormat/>
    <w:rsid w:val="000267BA"/>
    <w:pPr>
      <w:ind w:left="1685"/>
    </w:pPr>
  </w:style>
  <w:style w:type="paragraph" w:styleId="Index1">
    <w:name w:val="index 1"/>
    <w:basedOn w:val="TOC1"/>
    <w:next w:val="Index2"/>
    <w:uiPriority w:val="99"/>
    <w:unhideWhenUsed/>
    <w:rsid w:val="005E2F72"/>
  </w:style>
  <w:style w:type="paragraph" w:styleId="Index2">
    <w:name w:val="index 2"/>
    <w:basedOn w:val="TOC2"/>
    <w:next w:val="Index3"/>
    <w:uiPriority w:val="99"/>
    <w:unhideWhenUsed/>
    <w:rsid w:val="005E2F72"/>
  </w:style>
  <w:style w:type="paragraph" w:styleId="Index3">
    <w:name w:val="index 3"/>
    <w:basedOn w:val="TOC3"/>
    <w:next w:val="Index4"/>
    <w:uiPriority w:val="99"/>
    <w:unhideWhenUsed/>
    <w:rsid w:val="005E2F72"/>
  </w:style>
  <w:style w:type="paragraph" w:styleId="Index4">
    <w:name w:val="index 4"/>
    <w:basedOn w:val="TOC4"/>
    <w:next w:val="Index6"/>
    <w:uiPriority w:val="99"/>
    <w:unhideWhenUsed/>
    <w:rsid w:val="005E2F72"/>
  </w:style>
  <w:style w:type="paragraph" w:styleId="TOC5">
    <w:name w:val="toc 5"/>
    <w:basedOn w:val="TOC4"/>
    <w:next w:val="TOC6"/>
    <w:uiPriority w:val="69"/>
    <w:unhideWhenUsed/>
    <w:qFormat/>
    <w:rsid w:val="000267BA"/>
    <w:pPr>
      <w:ind w:left="2160"/>
    </w:pPr>
  </w:style>
  <w:style w:type="paragraph" w:styleId="Index5">
    <w:name w:val="index 5"/>
    <w:basedOn w:val="TOC5"/>
    <w:next w:val="Index6"/>
    <w:uiPriority w:val="99"/>
    <w:unhideWhenUsed/>
    <w:rsid w:val="005E2F72"/>
  </w:style>
  <w:style w:type="paragraph" w:styleId="TOC6">
    <w:name w:val="toc 6"/>
    <w:basedOn w:val="TOC5"/>
    <w:uiPriority w:val="69"/>
    <w:unhideWhenUsed/>
    <w:qFormat/>
    <w:rsid w:val="000267BA"/>
    <w:pPr>
      <w:ind w:left="2635"/>
    </w:pPr>
  </w:style>
  <w:style w:type="paragraph" w:styleId="Index6">
    <w:name w:val="index 6"/>
    <w:basedOn w:val="TOC6"/>
    <w:next w:val="Index7"/>
    <w:uiPriority w:val="99"/>
    <w:unhideWhenUsed/>
    <w:rsid w:val="005E2F72"/>
  </w:style>
  <w:style w:type="paragraph" w:styleId="TOC7">
    <w:name w:val="toc 7"/>
    <w:basedOn w:val="TOC6"/>
    <w:next w:val="TOC8"/>
    <w:uiPriority w:val="69"/>
    <w:unhideWhenUsed/>
    <w:qFormat/>
    <w:rsid w:val="000267BA"/>
    <w:pPr>
      <w:ind w:left="3125"/>
    </w:pPr>
  </w:style>
  <w:style w:type="paragraph" w:styleId="Index7">
    <w:name w:val="index 7"/>
    <w:basedOn w:val="TOC7"/>
    <w:next w:val="Index8"/>
    <w:uiPriority w:val="99"/>
    <w:unhideWhenUsed/>
    <w:rsid w:val="005E2F72"/>
  </w:style>
  <w:style w:type="paragraph" w:styleId="TOC8">
    <w:name w:val="toc 8"/>
    <w:basedOn w:val="TOC7"/>
    <w:next w:val="TOC9"/>
    <w:uiPriority w:val="69"/>
    <w:unhideWhenUsed/>
    <w:qFormat/>
    <w:rsid w:val="000267BA"/>
    <w:pPr>
      <w:ind w:left="3600"/>
    </w:pPr>
  </w:style>
  <w:style w:type="paragraph" w:styleId="Index8">
    <w:name w:val="index 8"/>
    <w:basedOn w:val="TOC8"/>
    <w:next w:val="Index9"/>
    <w:uiPriority w:val="99"/>
    <w:unhideWhenUsed/>
    <w:rsid w:val="005E2F72"/>
  </w:style>
  <w:style w:type="paragraph" w:styleId="TOC9">
    <w:name w:val="toc 9"/>
    <w:basedOn w:val="TOC8"/>
    <w:uiPriority w:val="69"/>
    <w:unhideWhenUsed/>
    <w:qFormat/>
    <w:rsid w:val="000267BA"/>
    <w:pPr>
      <w:ind w:left="4075"/>
    </w:pPr>
  </w:style>
  <w:style w:type="paragraph" w:styleId="Index9">
    <w:name w:val="index 9"/>
    <w:basedOn w:val="TOC9"/>
    <w:uiPriority w:val="99"/>
    <w:unhideWhenUsed/>
    <w:rsid w:val="005E2F72"/>
  </w:style>
  <w:style w:type="paragraph" w:customStyle="1" w:styleId="Paragraph1">
    <w:name w:val="Paragraph 1"/>
    <w:basedOn w:val="Normal"/>
    <w:uiPriority w:val="7"/>
    <w:qFormat/>
    <w:rsid w:val="00DA65D3"/>
    <w:pPr>
      <w:ind w:firstLine="475"/>
    </w:pPr>
  </w:style>
  <w:style w:type="paragraph" w:customStyle="1" w:styleId="Block1">
    <w:name w:val="Block 1"/>
    <w:basedOn w:val="Normal"/>
    <w:uiPriority w:val="3"/>
    <w:qFormat/>
    <w:rsid w:val="00DA65D3"/>
  </w:style>
  <w:style w:type="paragraph" w:customStyle="1" w:styleId="Hang1">
    <w:name w:val="Hang 1"/>
    <w:basedOn w:val="Normal"/>
    <w:uiPriority w:val="8"/>
    <w:qFormat/>
    <w:rsid w:val="00DA65D3"/>
    <w:pPr>
      <w:ind w:left="475" w:hanging="475"/>
    </w:pPr>
  </w:style>
  <w:style w:type="paragraph" w:styleId="NormalWeb">
    <w:name w:val="Normal (Web)"/>
    <w:basedOn w:val="Normal"/>
    <w:uiPriority w:val="99"/>
    <w:semiHidden/>
    <w:unhideWhenUsed/>
    <w:rsid w:val="005C5605"/>
    <w:pPr>
      <w:spacing w:before="100" w:beforeAutospacing="1" w:after="100" w:afterAutospacing="1"/>
    </w:pPr>
    <w:rPr>
      <w:rFonts w:ascii="Verdana" w:eastAsia="Times New Roman" w:hAnsi="Verdana" w:cs="Times New Roman"/>
    </w:rPr>
  </w:style>
  <w:style w:type="paragraph" w:styleId="Title">
    <w:name w:val="Title"/>
    <w:basedOn w:val="Normal"/>
    <w:next w:val="Normal"/>
    <w:link w:val="TitleChar"/>
    <w:unhideWhenUsed/>
    <w:rsid w:val="004E4D3F"/>
    <w:pPr>
      <w:spacing w:after="0" w:line="480" w:lineRule="auto"/>
      <w:contextualSpacing/>
      <w:jc w:val="center"/>
      <w:outlineLvl w:val="0"/>
    </w:pPr>
    <w:rPr>
      <w:rFonts w:eastAsiaTheme="majorEastAsia" w:cstheme="majorBidi"/>
      <w:b/>
      <w:spacing w:val="-10"/>
      <w:kern w:val="28"/>
      <w:sz w:val="52"/>
      <w:szCs w:val="56"/>
    </w:rPr>
  </w:style>
  <w:style w:type="character" w:customStyle="1" w:styleId="TitleChar">
    <w:name w:val="Title Char"/>
    <w:basedOn w:val="DefaultParagraphFont"/>
    <w:link w:val="Title"/>
    <w:rsid w:val="008259A7"/>
    <w:rPr>
      <w:rFonts w:ascii="Calibri" w:eastAsiaTheme="majorEastAsia" w:hAnsi="Calibri" w:cstheme="majorBidi"/>
      <w:b/>
      <w:spacing w:val="-10"/>
      <w:kern w:val="28"/>
      <w:sz w:val="52"/>
      <w:szCs w:val="56"/>
    </w:rPr>
  </w:style>
  <w:style w:type="paragraph" w:customStyle="1" w:styleId="ReferenceNote">
    <w:name w:val="Reference Note"/>
    <w:basedOn w:val="Block1"/>
    <w:next w:val="Block1"/>
    <w:uiPriority w:val="2"/>
    <w:qFormat/>
    <w:rsid w:val="00DA65D3"/>
  </w:style>
  <w:style w:type="paragraph" w:styleId="List2">
    <w:name w:val="List 2"/>
    <w:basedOn w:val="List1"/>
    <w:uiPriority w:val="5"/>
    <w:qFormat/>
    <w:rsid w:val="00DC2E19"/>
    <w:pPr>
      <w:ind w:left="950"/>
    </w:pPr>
  </w:style>
  <w:style w:type="paragraph" w:customStyle="1" w:styleId="Block2">
    <w:name w:val="Block 2"/>
    <w:basedOn w:val="Block1"/>
    <w:uiPriority w:val="3"/>
    <w:unhideWhenUsed/>
    <w:qFormat/>
    <w:rsid w:val="00DC2E19"/>
    <w:pPr>
      <w:ind w:left="475"/>
    </w:pPr>
  </w:style>
  <w:style w:type="paragraph" w:customStyle="1" w:styleId="Block3">
    <w:name w:val="Block 3"/>
    <w:basedOn w:val="Block2"/>
    <w:uiPriority w:val="3"/>
    <w:unhideWhenUsed/>
    <w:qFormat/>
    <w:rsid w:val="00DC2E19"/>
    <w:pPr>
      <w:ind w:left="950"/>
    </w:pPr>
  </w:style>
  <w:style w:type="paragraph" w:customStyle="1" w:styleId="Block4">
    <w:name w:val="Block 4"/>
    <w:basedOn w:val="Block3"/>
    <w:uiPriority w:val="3"/>
    <w:unhideWhenUsed/>
    <w:qFormat/>
    <w:rsid w:val="00DC2E19"/>
    <w:pPr>
      <w:ind w:left="1440"/>
    </w:pPr>
  </w:style>
  <w:style w:type="paragraph" w:customStyle="1" w:styleId="Block5">
    <w:name w:val="Block 5"/>
    <w:basedOn w:val="Block4"/>
    <w:uiPriority w:val="3"/>
    <w:unhideWhenUsed/>
    <w:qFormat/>
    <w:rsid w:val="00DC2E19"/>
    <w:pPr>
      <w:ind w:left="1915"/>
    </w:pPr>
  </w:style>
  <w:style w:type="paragraph" w:customStyle="1" w:styleId="Block6">
    <w:name w:val="Block 6"/>
    <w:basedOn w:val="Block5"/>
    <w:uiPriority w:val="3"/>
    <w:unhideWhenUsed/>
    <w:rsid w:val="00DC2E19"/>
    <w:pPr>
      <w:ind w:left="2390"/>
    </w:pPr>
  </w:style>
  <w:style w:type="paragraph" w:customStyle="1" w:styleId="Block7">
    <w:name w:val="Block 7"/>
    <w:basedOn w:val="Block6"/>
    <w:uiPriority w:val="3"/>
    <w:unhideWhenUsed/>
    <w:rsid w:val="00DC2E19"/>
    <w:pPr>
      <w:ind w:left="2880"/>
    </w:pPr>
  </w:style>
  <w:style w:type="paragraph" w:customStyle="1" w:styleId="Block8">
    <w:name w:val="Block 8"/>
    <w:basedOn w:val="Block7"/>
    <w:uiPriority w:val="3"/>
    <w:unhideWhenUsed/>
    <w:rsid w:val="00DC2E19"/>
    <w:pPr>
      <w:ind w:left="3355"/>
    </w:pPr>
  </w:style>
  <w:style w:type="paragraph" w:customStyle="1" w:styleId="Block9">
    <w:name w:val="Block 9"/>
    <w:basedOn w:val="Block8"/>
    <w:uiPriority w:val="3"/>
    <w:unhideWhenUsed/>
    <w:rsid w:val="00DC2E19"/>
    <w:pPr>
      <w:ind w:left="3830"/>
    </w:pPr>
  </w:style>
  <w:style w:type="paragraph" w:styleId="List3">
    <w:name w:val="List 3"/>
    <w:basedOn w:val="List2"/>
    <w:uiPriority w:val="5"/>
    <w:unhideWhenUsed/>
    <w:qFormat/>
    <w:rsid w:val="00DC2E19"/>
    <w:pPr>
      <w:ind w:left="1425"/>
    </w:pPr>
  </w:style>
  <w:style w:type="paragraph" w:styleId="List4">
    <w:name w:val="List 4"/>
    <w:basedOn w:val="List3"/>
    <w:uiPriority w:val="5"/>
    <w:unhideWhenUsed/>
    <w:qFormat/>
    <w:rsid w:val="00DC2E19"/>
    <w:pPr>
      <w:ind w:left="1915"/>
    </w:pPr>
  </w:style>
  <w:style w:type="paragraph" w:styleId="List5">
    <w:name w:val="List 5"/>
    <w:basedOn w:val="List4"/>
    <w:uiPriority w:val="5"/>
    <w:unhideWhenUsed/>
    <w:qFormat/>
    <w:rsid w:val="00DC2E19"/>
    <w:pPr>
      <w:ind w:left="2865"/>
    </w:pPr>
  </w:style>
  <w:style w:type="paragraph" w:customStyle="1" w:styleId="List6">
    <w:name w:val="List 6"/>
    <w:basedOn w:val="List5"/>
    <w:uiPriority w:val="5"/>
    <w:unhideWhenUsed/>
    <w:rsid w:val="0002369A"/>
    <w:pPr>
      <w:ind w:left="3355"/>
    </w:pPr>
  </w:style>
  <w:style w:type="paragraph" w:customStyle="1" w:styleId="List7">
    <w:name w:val="List 7"/>
    <w:basedOn w:val="List6"/>
    <w:uiPriority w:val="5"/>
    <w:unhideWhenUsed/>
    <w:rsid w:val="0002369A"/>
    <w:pPr>
      <w:ind w:left="3830"/>
    </w:pPr>
  </w:style>
  <w:style w:type="paragraph" w:customStyle="1" w:styleId="List8">
    <w:name w:val="List 8"/>
    <w:basedOn w:val="List7"/>
    <w:uiPriority w:val="5"/>
    <w:unhideWhenUsed/>
    <w:rsid w:val="0002369A"/>
    <w:pPr>
      <w:ind w:left="4305"/>
    </w:pPr>
  </w:style>
  <w:style w:type="paragraph" w:customStyle="1" w:styleId="List9">
    <w:name w:val="List 9"/>
    <w:basedOn w:val="List8"/>
    <w:uiPriority w:val="5"/>
    <w:unhideWhenUsed/>
    <w:rsid w:val="0002369A"/>
    <w:pPr>
      <w:ind w:left="4795"/>
    </w:pPr>
  </w:style>
  <w:style w:type="paragraph" w:customStyle="1" w:styleId="Hang2">
    <w:name w:val="Hang 2"/>
    <w:basedOn w:val="Hang1"/>
    <w:uiPriority w:val="8"/>
    <w:unhideWhenUsed/>
    <w:qFormat/>
    <w:rsid w:val="0002369A"/>
    <w:pPr>
      <w:ind w:left="950"/>
    </w:pPr>
  </w:style>
  <w:style w:type="paragraph" w:customStyle="1" w:styleId="Hang3">
    <w:name w:val="Hang 3"/>
    <w:basedOn w:val="Hang2"/>
    <w:uiPriority w:val="8"/>
    <w:unhideWhenUsed/>
    <w:qFormat/>
    <w:rsid w:val="001D5425"/>
    <w:pPr>
      <w:ind w:left="1425"/>
    </w:pPr>
  </w:style>
  <w:style w:type="paragraph" w:customStyle="1" w:styleId="Hang4">
    <w:name w:val="Hang 4"/>
    <w:basedOn w:val="Hang3"/>
    <w:uiPriority w:val="8"/>
    <w:unhideWhenUsed/>
    <w:qFormat/>
    <w:rsid w:val="001D5425"/>
    <w:pPr>
      <w:ind w:left="1915"/>
    </w:pPr>
  </w:style>
  <w:style w:type="paragraph" w:customStyle="1" w:styleId="Hang5">
    <w:name w:val="Hang 5"/>
    <w:basedOn w:val="Hang4"/>
    <w:uiPriority w:val="8"/>
    <w:unhideWhenUsed/>
    <w:qFormat/>
    <w:rsid w:val="001D5425"/>
    <w:pPr>
      <w:ind w:left="2390"/>
    </w:pPr>
  </w:style>
  <w:style w:type="paragraph" w:customStyle="1" w:styleId="Hang6">
    <w:name w:val="Hang 6"/>
    <w:basedOn w:val="Hang5"/>
    <w:uiPriority w:val="8"/>
    <w:unhideWhenUsed/>
    <w:rsid w:val="001D5425"/>
    <w:pPr>
      <w:ind w:left="2865"/>
    </w:pPr>
  </w:style>
  <w:style w:type="paragraph" w:customStyle="1" w:styleId="Hang7">
    <w:name w:val="Hang 7"/>
    <w:basedOn w:val="Hang6"/>
    <w:uiPriority w:val="8"/>
    <w:unhideWhenUsed/>
    <w:rsid w:val="001D5425"/>
    <w:pPr>
      <w:ind w:left="3355"/>
    </w:pPr>
  </w:style>
  <w:style w:type="paragraph" w:customStyle="1" w:styleId="Hang8">
    <w:name w:val="Hang 8"/>
    <w:basedOn w:val="Hang7"/>
    <w:uiPriority w:val="8"/>
    <w:unhideWhenUsed/>
    <w:rsid w:val="001D5425"/>
    <w:pPr>
      <w:ind w:left="3830"/>
    </w:pPr>
  </w:style>
  <w:style w:type="paragraph" w:customStyle="1" w:styleId="Hang9">
    <w:name w:val="Hang 9"/>
    <w:basedOn w:val="Hang8"/>
    <w:uiPriority w:val="8"/>
    <w:unhideWhenUsed/>
    <w:rsid w:val="001D5425"/>
    <w:pPr>
      <w:ind w:left="4305"/>
    </w:pPr>
  </w:style>
  <w:style w:type="paragraph" w:customStyle="1" w:styleId="Paragraph2">
    <w:name w:val="Paragraph 2"/>
    <w:basedOn w:val="Paragraph1"/>
    <w:uiPriority w:val="7"/>
    <w:unhideWhenUsed/>
    <w:qFormat/>
    <w:rsid w:val="00CF4760"/>
    <w:pPr>
      <w:ind w:left="475"/>
    </w:pPr>
  </w:style>
  <w:style w:type="paragraph" w:customStyle="1" w:styleId="Paragraph3">
    <w:name w:val="Paragraph 3"/>
    <w:basedOn w:val="Paragraph2"/>
    <w:uiPriority w:val="7"/>
    <w:unhideWhenUsed/>
    <w:qFormat/>
    <w:rsid w:val="00CF4760"/>
    <w:pPr>
      <w:ind w:left="950"/>
    </w:pPr>
  </w:style>
  <w:style w:type="paragraph" w:customStyle="1" w:styleId="Paragraph4">
    <w:name w:val="Paragraph 4"/>
    <w:basedOn w:val="Paragraph3"/>
    <w:uiPriority w:val="7"/>
    <w:unhideWhenUsed/>
    <w:qFormat/>
    <w:rsid w:val="00CF4760"/>
    <w:pPr>
      <w:ind w:left="1440"/>
    </w:pPr>
  </w:style>
  <w:style w:type="paragraph" w:customStyle="1" w:styleId="Paragraph5">
    <w:name w:val="Paragraph 5"/>
    <w:basedOn w:val="Paragraph4"/>
    <w:uiPriority w:val="7"/>
    <w:unhideWhenUsed/>
    <w:qFormat/>
    <w:rsid w:val="00CF4760"/>
    <w:pPr>
      <w:ind w:left="1915"/>
    </w:pPr>
  </w:style>
  <w:style w:type="paragraph" w:customStyle="1" w:styleId="Paragraph6">
    <w:name w:val="Paragraph 6"/>
    <w:basedOn w:val="Paragraph5"/>
    <w:uiPriority w:val="7"/>
    <w:unhideWhenUsed/>
    <w:rsid w:val="00CF4760"/>
    <w:pPr>
      <w:ind w:left="2880"/>
    </w:pPr>
  </w:style>
  <w:style w:type="paragraph" w:customStyle="1" w:styleId="Paragraph7">
    <w:name w:val="Paragraph 7"/>
    <w:basedOn w:val="Paragraph6"/>
    <w:uiPriority w:val="7"/>
    <w:unhideWhenUsed/>
    <w:rsid w:val="00CF4760"/>
    <w:pPr>
      <w:ind w:left="3355"/>
    </w:pPr>
  </w:style>
  <w:style w:type="paragraph" w:customStyle="1" w:styleId="Paragraph8">
    <w:name w:val="Paragraph 8"/>
    <w:basedOn w:val="Paragraph7"/>
    <w:uiPriority w:val="7"/>
    <w:unhideWhenUsed/>
    <w:rsid w:val="00CF4760"/>
    <w:pPr>
      <w:ind w:left="3830"/>
    </w:pPr>
  </w:style>
  <w:style w:type="paragraph" w:customStyle="1" w:styleId="Paragraph9">
    <w:name w:val="Paragraph 9"/>
    <w:basedOn w:val="Paragraph8"/>
    <w:uiPriority w:val="7"/>
    <w:unhideWhenUsed/>
    <w:rsid w:val="00CF4760"/>
    <w:pPr>
      <w:ind w:left="4320"/>
    </w:pPr>
  </w:style>
  <w:style w:type="character" w:customStyle="1" w:styleId="Heading6Char">
    <w:name w:val="Heading 6 Char"/>
    <w:basedOn w:val="DefaultParagraphFont"/>
    <w:link w:val="Heading6"/>
    <w:uiPriority w:val="1"/>
    <w:rsid w:val="000C64D5"/>
    <w:rPr>
      <w:rFonts w:asciiTheme="majorHAnsi" w:eastAsiaTheme="majorEastAsia" w:hAnsiTheme="majorHAnsi" w:cstheme="majorBidi"/>
      <w:b/>
      <w:i/>
      <w:iCs/>
      <w:sz w:val="26"/>
    </w:rPr>
  </w:style>
  <w:style w:type="character" w:customStyle="1" w:styleId="Heading8Char">
    <w:name w:val="Heading 8 Char"/>
    <w:basedOn w:val="DefaultParagraphFont"/>
    <w:link w:val="Heading8"/>
    <w:uiPriority w:val="1"/>
    <w:rsid w:val="000C64D5"/>
    <w:rPr>
      <w:rFonts w:ascii="Calibri" w:eastAsiaTheme="majorEastAsia" w:hAnsi="Calibri" w:cstheme="majorBidi"/>
      <w:b/>
      <w:szCs w:val="21"/>
    </w:rPr>
  </w:style>
  <w:style w:type="character" w:customStyle="1" w:styleId="Heading7Char">
    <w:name w:val="Heading 7 Char"/>
    <w:basedOn w:val="DefaultParagraphFont"/>
    <w:link w:val="Heading7"/>
    <w:uiPriority w:val="1"/>
    <w:rsid w:val="000C64D5"/>
    <w:rPr>
      <w:rFonts w:asciiTheme="majorHAnsi" w:eastAsiaTheme="majorEastAsia" w:hAnsiTheme="majorHAnsi" w:cstheme="majorBidi"/>
      <w:i/>
      <w:sz w:val="26"/>
    </w:rPr>
  </w:style>
  <w:style w:type="character" w:customStyle="1" w:styleId="Heading9Char">
    <w:name w:val="Heading 9 Char"/>
    <w:basedOn w:val="DefaultParagraphFont"/>
    <w:link w:val="Heading9"/>
    <w:uiPriority w:val="1"/>
    <w:rsid w:val="000C64D5"/>
    <w:rPr>
      <w:rFonts w:ascii="Calibri" w:eastAsiaTheme="majorEastAsia" w:hAnsi="Calibri" w:cstheme="majorBidi"/>
      <w:b/>
      <w:i/>
      <w:iCs/>
      <w:szCs w:val="21"/>
    </w:rPr>
  </w:style>
  <w:style w:type="paragraph" w:customStyle="1" w:styleId="Subsect1">
    <w:name w:val="Subsect 1"/>
    <w:basedOn w:val="Section"/>
    <w:next w:val="Block1"/>
    <w:uiPriority w:val="1"/>
    <w:qFormat/>
    <w:rsid w:val="00F27364"/>
    <w:pPr>
      <w:outlineLvl w:val="6"/>
    </w:pPr>
    <w:rPr>
      <w:u w:val="single"/>
    </w:rPr>
  </w:style>
  <w:style w:type="paragraph" w:customStyle="1" w:styleId="Subsect2">
    <w:name w:val="Subsect 2"/>
    <w:basedOn w:val="Subsect1"/>
    <w:next w:val="Block1"/>
    <w:uiPriority w:val="1"/>
    <w:qFormat/>
    <w:rsid w:val="00F27364"/>
    <w:pPr>
      <w:outlineLvl w:val="7"/>
    </w:pPr>
    <w:rPr>
      <w:i/>
    </w:rPr>
  </w:style>
  <w:style w:type="paragraph" w:customStyle="1" w:styleId="Subsect3">
    <w:name w:val="Subsect 3"/>
    <w:basedOn w:val="Subsect2"/>
    <w:next w:val="Block1"/>
    <w:uiPriority w:val="1"/>
    <w:qFormat/>
    <w:rsid w:val="00F27364"/>
    <w:pPr>
      <w:outlineLvl w:val="8"/>
    </w:pPr>
    <w:rPr>
      <w:b w:val="0"/>
      <w:i w:val="0"/>
    </w:rPr>
  </w:style>
  <w:style w:type="table" w:styleId="TableGrid">
    <w:name w:val="Table Grid"/>
    <w:basedOn w:val="TableNormal"/>
    <w:uiPriority w:val="39"/>
    <w:rsid w:val="003702D8"/>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mageCaptionBelowCenter">
    <w:name w:val="Image Caption Below Center"/>
    <w:basedOn w:val="ImageCaptionBelowLeft"/>
    <w:next w:val="Block1"/>
    <w:rsid w:val="009E230F"/>
    <w:pPr>
      <w:jc w:val="center"/>
    </w:pPr>
  </w:style>
  <w:style w:type="paragraph" w:customStyle="1" w:styleId="ImageCenter">
    <w:name w:val="Image Center"/>
    <w:basedOn w:val="ImageLeft"/>
    <w:next w:val="Block1"/>
    <w:qFormat/>
    <w:rsid w:val="00677437"/>
    <w:pPr>
      <w:jc w:val="center"/>
    </w:pPr>
  </w:style>
  <w:style w:type="paragraph" w:customStyle="1" w:styleId="ImageCaptionAboveLeft">
    <w:name w:val="Image Caption Above Left"/>
    <w:basedOn w:val="Block1"/>
    <w:next w:val="Block1"/>
    <w:qFormat/>
    <w:rsid w:val="00D25F0C"/>
    <w:pPr>
      <w:keepNext/>
    </w:pPr>
    <w:rPr>
      <w:b/>
    </w:rPr>
  </w:style>
  <w:style w:type="paragraph" w:customStyle="1" w:styleId="ImageCaptionBelowRight">
    <w:name w:val="Image Caption Below Right"/>
    <w:basedOn w:val="ImageCaptionBelowLeft"/>
    <w:next w:val="Block1"/>
    <w:qFormat/>
    <w:rsid w:val="00A5216B"/>
    <w:pPr>
      <w:jc w:val="right"/>
    </w:pPr>
  </w:style>
  <w:style w:type="paragraph" w:customStyle="1" w:styleId="ImageLeft">
    <w:name w:val="Image Left"/>
    <w:next w:val="Block1"/>
    <w:qFormat/>
    <w:rsid w:val="00DA65D3"/>
    <w:pPr>
      <w:jc w:val="left"/>
    </w:pPr>
    <w:rPr>
      <w:rFonts w:ascii="Calibri" w:hAnsi="Calibri"/>
    </w:rPr>
  </w:style>
  <w:style w:type="paragraph" w:customStyle="1" w:styleId="ImageRight">
    <w:name w:val="Image Right"/>
    <w:basedOn w:val="ImageLeft"/>
    <w:next w:val="Block1"/>
    <w:qFormat/>
    <w:rsid w:val="00A5216B"/>
    <w:pPr>
      <w:jc w:val="right"/>
    </w:pPr>
  </w:style>
  <w:style w:type="character" w:styleId="Hyperlink">
    <w:name w:val="Hyperlink"/>
    <w:basedOn w:val="DefaultParagraphFont"/>
    <w:uiPriority w:val="99"/>
    <w:unhideWhenUsed/>
    <w:rsid w:val="006A7A94"/>
    <w:rPr>
      <w:color w:val="4472C4" w:themeColor="accent1"/>
      <w:u w:val="none"/>
    </w:rPr>
  </w:style>
  <w:style w:type="paragraph" w:customStyle="1" w:styleId="BlockCenter">
    <w:name w:val="Block Center"/>
    <w:basedOn w:val="Block1"/>
    <w:autoRedefine/>
    <w:qFormat/>
    <w:rsid w:val="00C57F8D"/>
    <w:pPr>
      <w:jc w:val="center"/>
    </w:pPr>
  </w:style>
  <w:style w:type="paragraph" w:styleId="BodyText">
    <w:name w:val="Body Text"/>
    <w:basedOn w:val="Normal"/>
    <w:link w:val="BodyTextChar"/>
    <w:uiPriority w:val="99"/>
    <w:semiHidden/>
    <w:rsid w:val="006B64E2"/>
  </w:style>
  <w:style w:type="character" w:customStyle="1" w:styleId="BodyTextChar">
    <w:name w:val="Body Text Char"/>
    <w:basedOn w:val="DefaultParagraphFont"/>
    <w:link w:val="BodyText"/>
    <w:uiPriority w:val="99"/>
    <w:semiHidden/>
    <w:rsid w:val="006B64E2"/>
    <w:rPr>
      <w:rFonts w:ascii="Calibri" w:hAnsi="Calibri"/>
      <w:sz w:val="20"/>
    </w:rPr>
  </w:style>
  <w:style w:type="paragraph" w:styleId="List">
    <w:name w:val="List"/>
    <w:basedOn w:val="Normal"/>
    <w:uiPriority w:val="99"/>
    <w:semiHidden/>
    <w:unhideWhenUsed/>
    <w:rsid w:val="00DA65D3"/>
    <w:pPr>
      <w:ind w:left="360" w:hanging="360"/>
      <w:contextualSpacing/>
    </w:pPr>
  </w:style>
  <w:style w:type="paragraph" w:styleId="ListBullet">
    <w:name w:val="List Bullet"/>
    <w:basedOn w:val="Normal"/>
    <w:uiPriority w:val="99"/>
    <w:semiHidden/>
    <w:unhideWhenUsed/>
    <w:qFormat/>
    <w:rsid w:val="00DA65D3"/>
    <w:pPr>
      <w:numPr>
        <w:numId w:val="1"/>
      </w:numPr>
      <w:contextualSpacing/>
    </w:pPr>
  </w:style>
  <w:style w:type="paragraph" w:styleId="ListContinue">
    <w:name w:val="List Continue"/>
    <w:basedOn w:val="Normal"/>
    <w:uiPriority w:val="99"/>
    <w:semiHidden/>
    <w:unhideWhenUsed/>
    <w:rsid w:val="00DA65D3"/>
    <w:pPr>
      <w:ind w:left="360"/>
      <w:contextualSpacing/>
    </w:pPr>
  </w:style>
  <w:style w:type="paragraph" w:customStyle="1" w:styleId="Block1Center">
    <w:name w:val="Block 1 Center"/>
    <w:basedOn w:val="Block1"/>
    <w:qFormat/>
    <w:rsid w:val="00C57F8D"/>
    <w:pPr>
      <w:jc w:val="center"/>
    </w:pPr>
  </w:style>
  <w:style w:type="paragraph" w:customStyle="1" w:styleId="Block2Center">
    <w:name w:val="Block 2 Center"/>
    <w:basedOn w:val="Block2"/>
    <w:qFormat/>
    <w:rsid w:val="00C57F8D"/>
    <w:pPr>
      <w:jc w:val="center"/>
    </w:pPr>
  </w:style>
  <w:style w:type="paragraph" w:customStyle="1" w:styleId="Block3Center">
    <w:name w:val="Block 3 Center"/>
    <w:basedOn w:val="Block3"/>
    <w:qFormat/>
    <w:rsid w:val="00205CAB"/>
    <w:pPr>
      <w:jc w:val="center"/>
    </w:pPr>
  </w:style>
  <w:style w:type="paragraph" w:customStyle="1" w:styleId="Block4Center">
    <w:name w:val="Block 4 Center"/>
    <w:basedOn w:val="Block4"/>
    <w:qFormat/>
    <w:rsid w:val="00205CAB"/>
    <w:pPr>
      <w:jc w:val="center"/>
    </w:pPr>
  </w:style>
  <w:style w:type="paragraph" w:customStyle="1" w:styleId="Block5Center">
    <w:name w:val="Block 5 Center"/>
    <w:basedOn w:val="Block5"/>
    <w:qFormat/>
    <w:rsid w:val="00205CAB"/>
    <w:pPr>
      <w:jc w:val="center"/>
    </w:pPr>
  </w:style>
  <w:style w:type="paragraph" w:customStyle="1" w:styleId="Block6Center">
    <w:name w:val="Block 6 Center"/>
    <w:basedOn w:val="Block6"/>
    <w:qFormat/>
    <w:rsid w:val="00205CAB"/>
    <w:pPr>
      <w:jc w:val="center"/>
    </w:pPr>
  </w:style>
  <w:style w:type="paragraph" w:customStyle="1" w:styleId="Block7Center">
    <w:name w:val="Block 7 Center"/>
    <w:basedOn w:val="Block7"/>
    <w:qFormat/>
    <w:rsid w:val="00205CAB"/>
    <w:pPr>
      <w:jc w:val="center"/>
    </w:pPr>
  </w:style>
  <w:style w:type="paragraph" w:customStyle="1" w:styleId="Block8Center">
    <w:name w:val="Block 8 Center"/>
    <w:basedOn w:val="Block8"/>
    <w:qFormat/>
    <w:rsid w:val="00205CAB"/>
    <w:pPr>
      <w:jc w:val="center"/>
    </w:pPr>
  </w:style>
  <w:style w:type="paragraph" w:customStyle="1" w:styleId="Block9Center">
    <w:name w:val="Block 9 Center"/>
    <w:basedOn w:val="Block9"/>
    <w:qFormat/>
    <w:rsid w:val="00205CAB"/>
    <w:pPr>
      <w:jc w:val="center"/>
    </w:pPr>
  </w:style>
  <w:style w:type="paragraph" w:styleId="ListNumber">
    <w:name w:val="List Number"/>
    <w:basedOn w:val="Normal"/>
    <w:uiPriority w:val="99"/>
    <w:semiHidden/>
    <w:unhideWhenUsed/>
    <w:rsid w:val="00DA65D3"/>
    <w:pPr>
      <w:numPr>
        <w:numId w:val="6"/>
      </w:numPr>
      <w:contextualSpacing/>
    </w:pPr>
  </w:style>
  <w:style w:type="paragraph" w:styleId="TableofFigures">
    <w:name w:val="table of figures"/>
    <w:basedOn w:val="Normal"/>
    <w:next w:val="Normal"/>
    <w:uiPriority w:val="99"/>
    <w:semiHidden/>
    <w:unhideWhenUsed/>
    <w:rsid w:val="00DA65D3"/>
    <w:pPr>
      <w:spacing w:after="0"/>
    </w:pPr>
  </w:style>
  <w:style w:type="paragraph" w:styleId="Subtitle">
    <w:name w:val="Subtitle"/>
    <w:basedOn w:val="Normal"/>
    <w:next w:val="Normal"/>
    <w:link w:val="SubtitleChar"/>
    <w:uiPriority w:val="87"/>
    <w:semiHidden/>
    <w:unhideWhenUsed/>
    <w:qFormat/>
    <w:rsid w:val="00774F68"/>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87"/>
    <w:semiHidden/>
    <w:rsid w:val="00774F68"/>
    <w:rPr>
      <w:rFonts w:ascii="Calibri" w:eastAsiaTheme="minorEastAsia" w:hAnsi="Calibri"/>
      <w:color w:val="5A5A5A" w:themeColor="text1" w:themeTint="A5"/>
      <w:spacing w:val="15"/>
      <w:sz w:val="22"/>
      <w:szCs w:val="22"/>
    </w:rPr>
  </w:style>
  <w:style w:type="paragraph" w:styleId="Footer">
    <w:name w:val="footer"/>
    <w:basedOn w:val="Normal"/>
    <w:link w:val="FooterChar"/>
    <w:uiPriority w:val="99"/>
    <w:semiHidden/>
    <w:unhideWhenUsed/>
    <w:rsid w:val="00774F68"/>
    <w:pPr>
      <w:tabs>
        <w:tab w:val="center" w:pos="4680"/>
        <w:tab w:val="right" w:pos="9360"/>
      </w:tabs>
      <w:spacing w:before="0" w:after="0"/>
    </w:pPr>
  </w:style>
  <w:style w:type="character" w:customStyle="1" w:styleId="FooterChar">
    <w:name w:val="Footer Char"/>
    <w:basedOn w:val="DefaultParagraphFont"/>
    <w:link w:val="Footer"/>
    <w:uiPriority w:val="99"/>
    <w:semiHidden/>
    <w:rsid w:val="00774F68"/>
    <w:rPr>
      <w:rFonts w:ascii="Calibri" w:hAnsi="Calibri"/>
      <w:sz w:val="20"/>
    </w:rPr>
  </w:style>
  <w:style w:type="paragraph" w:styleId="BlockText">
    <w:name w:val="Block Text"/>
    <w:basedOn w:val="Normal"/>
    <w:uiPriority w:val="99"/>
    <w:semiHidden/>
    <w:rsid w:val="006B64E2"/>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i/>
      <w:iCs/>
      <w:color w:val="4472C4" w:themeColor="accent1"/>
    </w:rPr>
  </w:style>
  <w:style w:type="paragraph" w:styleId="BodyText2">
    <w:name w:val="Body Text 2"/>
    <w:basedOn w:val="Normal"/>
    <w:link w:val="BodyText2Char"/>
    <w:uiPriority w:val="99"/>
    <w:semiHidden/>
    <w:rsid w:val="006B64E2"/>
    <w:pPr>
      <w:spacing w:line="480" w:lineRule="auto"/>
    </w:pPr>
  </w:style>
  <w:style w:type="character" w:customStyle="1" w:styleId="BodyText2Char">
    <w:name w:val="Body Text 2 Char"/>
    <w:basedOn w:val="DefaultParagraphFont"/>
    <w:link w:val="BodyText2"/>
    <w:uiPriority w:val="99"/>
    <w:semiHidden/>
    <w:rsid w:val="006B64E2"/>
    <w:rPr>
      <w:rFonts w:ascii="Calibri" w:hAnsi="Calibri"/>
      <w:sz w:val="20"/>
    </w:rPr>
  </w:style>
  <w:style w:type="paragraph" w:styleId="BodyText3">
    <w:name w:val="Body Text 3"/>
    <w:basedOn w:val="Normal"/>
    <w:link w:val="BodyText3Char"/>
    <w:uiPriority w:val="99"/>
    <w:semiHidden/>
    <w:rsid w:val="006B64E2"/>
    <w:rPr>
      <w:sz w:val="16"/>
      <w:szCs w:val="16"/>
    </w:rPr>
  </w:style>
  <w:style w:type="character" w:customStyle="1" w:styleId="BodyText3Char">
    <w:name w:val="Body Text 3 Char"/>
    <w:basedOn w:val="DefaultParagraphFont"/>
    <w:link w:val="BodyText3"/>
    <w:uiPriority w:val="99"/>
    <w:semiHidden/>
    <w:rsid w:val="006B64E2"/>
    <w:rPr>
      <w:rFonts w:ascii="Calibri" w:hAnsi="Calibri"/>
      <w:sz w:val="16"/>
      <w:szCs w:val="16"/>
    </w:rPr>
  </w:style>
  <w:style w:type="paragraph" w:styleId="BodyTextFirstIndent">
    <w:name w:val="Body Text First Indent"/>
    <w:basedOn w:val="BodyText"/>
    <w:link w:val="BodyTextFirstIndentChar"/>
    <w:uiPriority w:val="99"/>
    <w:semiHidden/>
    <w:rsid w:val="006B64E2"/>
    <w:pPr>
      <w:ind w:firstLine="360"/>
    </w:pPr>
  </w:style>
  <w:style w:type="character" w:customStyle="1" w:styleId="BodyTextFirstIndentChar">
    <w:name w:val="Body Text First Indent Char"/>
    <w:basedOn w:val="BodyTextChar"/>
    <w:link w:val="BodyTextFirstIndent"/>
    <w:uiPriority w:val="99"/>
    <w:semiHidden/>
    <w:rsid w:val="006B64E2"/>
    <w:rPr>
      <w:rFonts w:ascii="Calibri" w:hAnsi="Calibri"/>
      <w:sz w:val="20"/>
    </w:rPr>
  </w:style>
  <w:style w:type="paragraph" w:styleId="BodyTextIndent">
    <w:name w:val="Body Text Indent"/>
    <w:basedOn w:val="Normal"/>
    <w:link w:val="BodyTextIndentChar"/>
    <w:uiPriority w:val="99"/>
    <w:semiHidden/>
    <w:rsid w:val="006B64E2"/>
    <w:pPr>
      <w:ind w:left="360"/>
    </w:pPr>
  </w:style>
  <w:style w:type="character" w:customStyle="1" w:styleId="BodyTextIndentChar">
    <w:name w:val="Body Text Indent Char"/>
    <w:basedOn w:val="DefaultParagraphFont"/>
    <w:link w:val="BodyTextIndent"/>
    <w:uiPriority w:val="99"/>
    <w:semiHidden/>
    <w:rsid w:val="006B64E2"/>
    <w:rPr>
      <w:rFonts w:ascii="Calibri" w:hAnsi="Calibri"/>
      <w:sz w:val="20"/>
    </w:rPr>
  </w:style>
  <w:style w:type="paragraph" w:styleId="BodyTextFirstIndent2">
    <w:name w:val="Body Text First Indent 2"/>
    <w:basedOn w:val="BodyTextIndent"/>
    <w:link w:val="BodyTextFirstIndent2Char"/>
    <w:uiPriority w:val="99"/>
    <w:semiHidden/>
    <w:rsid w:val="006B64E2"/>
    <w:pPr>
      <w:ind w:firstLine="360"/>
    </w:pPr>
  </w:style>
  <w:style w:type="character" w:customStyle="1" w:styleId="BodyTextFirstIndent2Char">
    <w:name w:val="Body Text First Indent 2 Char"/>
    <w:basedOn w:val="BodyTextIndentChar"/>
    <w:link w:val="BodyTextFirstIndent2"/>
    <w:uiPriority w:val="99"/>
    <w:semiHidden/>
    <w:rsid w:val="006B64E2"/>
    <w:rPr>
      <w:rFonts w:ascii="Calibri" w:hAnsi="Calibri"/>
      <w:sz w:val="20"/>
    </w:rPr>
  </w:style>
  <w:style w:type="paragraph" w:styleId="BodyTextIndent2">
    <w:name w:val="Body Text Indent 2"/>
    <w:basedOn w:val="Normal"/>
    <w:link w:val="BodyTextIndent2Char"/>
    <w:uiPriority w:val="99"/>
    <w:semiHidden/>
    <w:rsid w:val="006B64E2"/>
    <w:pPr>
      <w:spacing w:line="480" w:lineRule="auto"/>
      <w:ind w:left="360"/>
    </w:pPr>
  </w:style>
  <w:style w:type="character" w:customStyle="1" w:styleId="BodyTextIndent2Char">
    <w:name w:val="Body Text Indent 2 Char"/>
    <w:basedOn w:val="DefaultParagraphFont"/>
    <w:link w:val="BodyTextIndent2"/>
    <w:uiPriority w:val="99"/>
    <w:semiHidden/>
    <w:rsid w:val="006B64E2"/>
    <w:rPr>
      <w:rFonts w:ascii="Calibri" w:hAnsi="Calibri"/>
      <w:sz w:val="20"/>
    </w:rPr>
  </w:style>
  <w:style w:type="paragraph" w:styleId="BodyTextIndent3">
    <w:name w:val="Body Text Indent 3"/>
    <w:basedOn w:val="Normal"/>
    <w:link w:val="BodyTextIndent3Char"/>
    <w:uiPriority w:val="99"/>
    <w:semiHidden/>
    <w:rsid w:val="006B64E2"/>
    <w:pPr>
      <w:ind w:left="360"/>
    </w:pPr>
    <w:rPr>
      <w:sz w:val="16"/>
      <w:szCs w:val="16"/>
    </w:rPr>
  </w:style>
  <w:style w:type="character" w:customStyle="1" w:styleId="BodyTextIndent3Char">
    <w:name w:val="Body Text Indent 3 Char"/>
    <w:basedOn w:val="DefaultParagraphFont"/>
    <w:link w:val="BodyTextIndent3"/>
    <w:uiPriority w:val="99"/>
    <w:semiHidden/>
    <w:rsid w:val="006B64E2"/>
    <w:rPr>
      <w:rFonts w:ascii="Calibri" w:hAnsi="Calibri"/>
      <w:sz w:val="16"/>
      <w:szCs w:val="16"/>
    </w:rPr>
  </w:style>
  <w:style w:type="paragraph" w:styleId="Caption">
    <w:name w:val="caption"/>
    <w:basedOn w:val="Normal"/>
    <w:next w:val="Normal"/>
    <w:uiPriority w:val="35"/>
    <w:semiHidden/>
    <w:unhideWhenUsed/>
    <w:qFormat/>
    <w:rsid w:val="006B64E2"/>
    <w:pPr>
      <w:spacing w:before="0" w:after="200"/>
    </w:pPr>
    <w:rPr>
      <w:i/>
      <w:iCs/>
      <w:color w:val="44546A" w:themeColor="text2"/>
      <w:sz w:val="18"/>
      <w:szCs w:val="18"/>
    </w:rPr>
  </w:style>
  <w:style w:type="paragraph" w:styleId="Closing">
    <w:name w:val="Closing"/>
    <w:basedOn w:val="Normal"/>
    <w:link w:val="ClosingChar"/>
    <w:uiPriority w:val="99"/>
    <w:semiHidden/>
    <w:rsid w:val="006B64E2"/>
    <w:pPr>
      <w:spacing w:before="0" w:after="0"/>
      <w:ind w:left="4320"/>
    </w:pPr>
  </w:style>
  <w:style w:type="character" w:customStyle="1" w:styleId="ClosingChar">
    <w:name w:val="Closing Char"/>
    <w:basedOn w:val="DefaultParagraphFont"/>
    <w:link w:val="Closing"/>
    <w:uiPriority w:val="99"/>
    <w:semiHidden/>
    <w:rsid w:val="006B64E2"/>
    <w:rPr>
      <w:rFonts w:ascii="Calibri" w:hAnsi="Calibri"/>
      <w:sz w:val="20"/>
    </w:rPr>
  </w:style>
  <w:style w:type="paragraph" w:styleId="CommentText">
    <w:name w:val="annotation text"/>
    <w:basedOn w:val="Normal"/>
    <w:link w:val="CommentTextChar"/>
    <w:uiPriority w:val="99"/>
    <w:semiHidden/>
    <w:unhideWhenUsed/>
    <w:rsid w:val="006B64E2"/>
    <w:rPr>
      <w:szCs w:val="20"/>
    </w:rPr>
  </w:style>
  <w:style w:type="character" w:customStyle="1" w:styleId="CommentTextChar">
    <w:name w:val="Comment Text Char"/>
    <w:basedOn w:val="DefaultParagraphFont"/>
    <w:link w:val="CommentText"/>
    <w:uiPriority w:val="99"/>
    <w:semiHidden/>
    <w:rsid w:val="006B64E2"/>
    <w:rPr>
      <w:rFonts w:ascii="Calibri" w:hAnsi="Calibri"/>
      <w:sz w:val="20"/>
      <w:szCs w:val="20"/>
    </w:rPr>
  </w:style>
  <w:style w:type="paragraph" w:styleId="CommentSubject">
    <w:name w:val="annotation subject"/>
    <w:basedOn w:val="CommentText"/>
    <w:next w:val="CommentText"/>
    <w:link w:val="CommentSubjectChar"/>
    <w:uiPriority w:val="99"/>
    <w:semiHidden/>
    <w:unhideWhenUsed/>
    <w:rsid w:val="006B64E2"/>
    <w:rPr>
      <w:b/>
      <w:bCs/>
    </w:rPr>
  </w:style>
  <w:style w:type="character" w:customStyle="1" w:styleId="CommentSubjectChar">
    <w:name w:val="Comment Subject Char"/>
    <w:basedOn w:val="CommentTextChar"/>
    <w:link w:val="CommentSubject"/>
    <w:uiPriority w:val="99"/>
    <w:semiHidden/>
    <w:rsid w:val="006B64E2"/>
    <w:rPr>
      <w:rFonts w:ascii="Calibri" w:hAnsi="Calibri"/>
      <w:b/>
      <w:bCs/>
      <w:sz w:val="20"/>
      <w:szCs w:val="20"/>
    </w:rPr>
  </w:style>
  <w:style w:type="paragraph" w:styleId="Date">
    <w:name w:val="Date"/>
    <w:basedOn w:val="Normal"/>
    <w:next w:val="Normal"/>
    <w:link w:val="DateChar"/>
    <w:uiPriority w:val="99"/>
    <w:semiHidden/>
    <w:unhideWhenUsed/>
    <w:rsid w:val="006B64E2"/>
  </w:style>
  <w:style w:type="character" w:customStyle="1" w:styleId="DateChar">
    <w:name w:val="Date Char"/>
    <w:basedOn w:val="DefaultParagraphFont"/>
    <w:link w:val="Date"/>
    <w:uiPriority w:val="99"/>
    <w:semiHidden/>
    <w:rsid w:val="006B64E2"/>
    <w:rPr>
      <w:rFonts w:ascii="Calibri" w:hAnsi="Calibri"/>
      <w:sz w:val="20"/>
    </w:rPr>
  </w:style>
  <w:style w:type="character" w:styleId="BookTitle">
    <w:name w:val="Book Title"/>
    <w:basedOn w:val="DefaultParagraphFont"/>
    <w:uiPriority w:val="84"/>
    <w:semiHidden/>
    <w:unhideWhenUsed/>
    <w:qFormat/>
    <w:rsid w:val="006E1096"/>
    <w:rPr>
      <w:b/>
      <w:bCs/>
      <w:i/>
      <w:iCs/>
      <w:spacing w:val="5"/>
    </w:rPr>
  </w:style>
  <w:style w:type="character" w:styleId="CommentReference">
    <w:name w:val="annotation reference"/>
    <w:basedOn w:val="DefaultParagraphFont"/>
    <w:uiPriority w:val="99"/>
    <w:semiHidden/>
    <w:unhideWhenUsed/>
    <w:rsid w:val="006E1096"/>
    <w:rPr>
      <w:sz w:val="16"/>
      <w:szCs w:val="16"/>
    </w:rPr>
  </w:style>
  <w:style w:type="paragraph" w:styleId="DocumentMap">
    <w:name w:val="Document Map"/>
    <w:basedOn w:val="Normal"/>
    <w:link w:val="DocumentMapChar"/>
    <w:uiPriority w:val="99"/>
    <w:semiHidden/>
    <w:unhideWhenUsed/>
    <w:rsid w:val="006E1096"/>
    <w:pPr>
      <w:spacing w:before="0" w:after="0"/>
    </w:pPr>
    <w:rPr>
      <w:rFonts w:cs="Calibri"/>
      <w:sz w:val="16"/>
      <w:szCs w:val="16"/>
    </w:rPr>
  </w:style>
  <w:style w:type="character" w:customStyle="1" w:styleId="DocumentMapChar">
    <w:name w:val="Document Map Char"/>
    <w:basedOn w:val="DefaultParagraphFont"/>
    <w:link w:val="DocumentMap"/>
    <w:uiPriority w:val="99"/>
    <w:semiHidden/>
    <w:rsid w:val="006E1096"/>
    <w:rPr>
      <w:rFonts w:ascii="Calibri" w:hAnsi="Calibri" w:cs="Calibri"/>
      <w:sz w:val="16"/>
      <w:szCs w:val="16"/>
    </w:rPr>
  </w:style>
  <w:style w:type="paragraph" w:styleId="E-mailSignature">
    <w:name w:val="E-mail Signature"/>
    <w:basedOn w:val="Normal"/>
    <w:link w:val="E-mailSignatureChar"/>
    <w:uiPriority w:val="99"/>
    <w:semiHidden/>
    <w:unhideWhenUsed/>
    <w:rsid w:val="006E1096"/>
    <w:pPr>
      <w:spacing w:before="0" w:after="0"/>
    </w:pPr>
  </w:style>
  <w:style w:type="character" w:customStyle="1" w:styleId="E-mailSignatureChar">
    <w:name w:val="E-mail Signature Char"/>
    <w:basedOn w:val="DefaultParagraphFont"/>
    <w:link w:val="E-mailSignature"/>
    <w:uiPriority w:val="99"/>
    <w:semiHidden/>
    <w:rsid w:val="006E1096"/>
    <w:rPr>
      <w:rFonts w:ascii="Calibri" w:hAnsi="Calibri"/>
      <w:sz w:val="20"/>
    </w:rPr>
  </w:style>
  <w:style w:type="character" w:styleId="Emphasis">
    <w:name w:val="Emphasis"/>
    <w:basedOn w:val="DefaultParagraphFont"/>
    <w:uiPriority w:val="11"/>
    <w:semiHidden/>
    <w:qFormat/>
    <w:rsid w:val="006E1096"/>
    <w:rPr>
      <w:i/>
      <w:iCs/>
    </w:rPr>
  </w:style>
  <w:style w:type="character" w:styleId="EndnoteReference">
    <w:name w:val="endnote reference"/>
    <w:basedOn w:val="DefaultParagraphFont"/>
    <w:uiPriority w:val="99"/>
    <w:semiHidden/>
    <w:unhideWhenUsed/>
    <w:rsid w:val="006E1096"/>
    <w:rPr>
      <w:vertAlign w:val="superscript"/>
    </w:rPr>
  </w:style>
  <w:style w:type="paragraph" w:styleId="EndnoteText">
    <w:name w:val="endnote text"/>
    <w:basedOn w:val="Normal"/>
    <w:link w:val="EndnoteTextChar"/>
    <w:uiPriority w:val="99"/>
    <w:semiHidden/>
    <w:unhideWhenUsed/>
    <w:rsid w:val="006E1096"/>
    <w:pPr>
      <w:spacing w:before="0" w:after="0"/>
    </w:pPr>
    <w:rPr>
      <w:szCs w:val="20"/>
    </w:rPr>
  </w:style>
  <w:style w:type="character" w:customStyle="1" w:styleId="EndnoteTextChar">
    <w:name w:val="Endnote Text Char"/>
    <w:basedOn w:val="DefaultParagraphFont"/>
    <w:link w:val="EndnoteText"/>
    <w:uiPriority w:val="99"/>
    <w:semiHidden/>
    <w:rsid w:val="006E1096"/>
    <w:rPr>
      <w:rFonts w:ascii="Calibri" w:hAnsi="Calibri"/>
      <w:sz w:val="20"/>
      <w:szCs w:val="20"/>
    </w:rPr>
  </w:style>
  <w:style w:type="paragraph" w:styleId="EnvelopeAddress">
    <w:name w:val="envelope address"/>
    <w:basedOn w:val="Normal"/>
    <w:uiPriority w:val="99"/>
    <w:semiHidden/>
    <w:unhideWhenUsed/>
    <w:rsid w:val="006E1096"/>
    <w:pPr>
      <w:framePr w:w="7920" w:h="1980" w:hRule="exact" w:hSpace="180" w:wrap="auto" w:hAnchor="page" w:xAlign="center" w:yAlign="bottom"/>
      <w:spacing w:before="0" w:after="0"/>
      <w:ind w:left="2880"/>
    </w:pPr>
    <w:rPr>
      <w:rFonts w:asciiTheme="majorHAnsi" w:eastAsiaTheme="majorEastAsia" w:hAnsiTheme="majorHAnsi" w:cstheme="majorBidi"/>
      <w:sz w:val="24"/>
    </w:rPr>
  </w:style>
  <w:style w:type="paragraph" w:styleId="EnvelopeReturn">
    <w:name w:val="envelope return"/>
    <w:basedOn w:val="Normal"/>
    <w:uiPriority w:val="99"/>
    <w:semiHidden/>
    <w:unhideWhenUsed/>
    <w:rsid w:val="006E1096"/>
    <w:pPr>
      <w:spacing w:before="0" w:after="0"/>
    </w:pPr>
    <w:rPr>
      <w:rFonts w:asciiTheme="majorHAnsi" w:eastAsiaTheme="majorEastAsia" w:hAnsiTheme="majorHAnsi" w:cstheme="majorBidi"/>
      <w:szCs w:val="20"/>
    </w:rPr>
  </w:style>
  <w:style w:type="character" w:styleId="FollowedHyperlink">
    <w:name w:val="FollowedHyperlink"/>
    <w:basedOn w:val="DefaultParagraphFont"/>
    <w:uiPriority w:val="99"/>
    <w:semiHidden/>
    <w:unhideWhenUsed/>
    <w:rsid w:val="006E1096"/>
    <w:rPr>
      <w:color w:val="954F72" w:themeColor="followedHyperlink"/>
      <w:u w:val="single"/>
    </w:rPr>
  </w:style>
  <w:style w:type="paragraph" w:styleId="Header">
    <w:name w:val="header"/>
    <w:basedOn w:val="Normal"/>
    <w:link w:val="HeaderChar"/>
    <w:uiPriority w:val="99"/>
    <w:semiHidden/>
    <w:unhideWhenUsed/>
    <w:rsid w:val="005C5605"/>
    <w:pPr>
      <w:tabs>
        <w:tab w:val="center" w:pos="4680"/>
        <w:tab w:val="right" w:pos="9360"/>
      </w:tabs>
      <w:spacing w:before="0" w:after="0"/>
    </w:pPr>
  </w:style>
  <w:style w:type="character" w:customStyle="1" w:styleId="HeaderChar">
    <w:name w:val="Header Char"/>
    <w:basedOn w:val="DefaultParagraphFont"/>
    <w:link w:val="Header"/>
    <w:uiPriority w:val="99"/>
    <w:semiHidden/>
    <w:rsid w:val="005C5605"/>
    <w:rPr>
      <w:rFonts w:ascii="Calibri" w:hAnsi="Calibri"/>
      <w:sz w:val="20"/>
    </w:rPr>
  </w:style>
  <w:style w:type="paragraph" w:styleId="NoteHeading">
    <w:name w:val="Note Heading"/>
    <w:basedOn w:val="Normal"/>
    <w:next w:val="Normal"/>
    <w:link w:val="NoteHeadingChar"/>
    <w:uiPriority w:val="99"/>
    <w:semiHidden/>
    <w:unhideWhenUsed/>
    <w:rsid w:val="005C5605"/>
    <w:pPr>
      <w:spacing w:before="0" w:after="0"/>
    </w:pPr>
  </w:style>
  <w:style w:type="character" w:customStyle="1" w:styleId="NoteHeadingChar">
    <w:name w:val="Note Heading Char"/>
    <w:basedOn w:val="DefaultParagraphFont"/>
    <w:link w:val="NoteHeading"/>
    <w:uiPriority w:val="99"/>
    <w:semiHidden/>
    <w:rsid w:val="005C5605"/>
    <w:rPr>
      <w:rFonts w:ascii="Calibri" w:hAnsi="Calibri"/>
      <w:sz w:val="20"/>
    </w:rPr>
  </w:style>
  <w:style w:type="paragraph" w:styleId="ListBullet2">
    <w:name w:val="List Bullet 2"/>
    <w:basedOn w:val="Normal"/>
    <w:uiPriority w:val="99"/>
    <w:semiHidden/>
    <w:unhideWhenUsed/>
    <w:rsid w:val="002F7CA1"/>
    <w:pPr>
      <w:numPr>
        <w:numId w:val="2"/>
      </w:numPr>
      <w:contextualSpacing/>
    </w:pPr>
  </w:style>
  <w:style w:type="paragraph" w:styleId="ListBullet3">
    <w:name w:val="List Bullet 3"/>
    <w:basedOn w:val="Normal"/>
    <w:uiPriority w:val="99"/>
    <w:semiHidden/>
    <w:unhideWhenUsed/>
    <w:rsid w:val="002F7CA1"/>
    <w:pPr>
      <w:numPr>
        <w:numId w:val="3"/>
      </w:numPr>
      <w:contextualSpacing/>
    </w:pPr>
  </w:style>
  <w:style w:type="paragraph" w:styleId="ListBullet4">
    <w:name w:val="List Bullet 4"/>
    <w:basedOn w:val="Normal"/>
    <w:uiPriority w:val="99"/>
    <w:semiHidden/>
    <w:unhideWhenUsed/>
    <w:rsid w:val="00100CA2"/>
    <w:pPr>
      <w:numPr>
        <w:numId w:val="4"/>
      </w:numPr>
      <w:contextualSpacing/>
    </w:pPr>
  </w:style>
  <w:style w:type="paragraph" w:styleId="ListBullet5">
    <w:name w:val="List Bullet 5"/>
    <w:basedOn w:val="Normal"/>
    <w:uiPriority w:val="99"/>
    <w:semiHidden/>
    <w:unhideWhenUsed/>
    <w:rsid w:val="00100CA2"/>
    <w:pPr>
      <w:numPr>
        <w:numId w:val="5"/>
      </w:numPr>
      <w:contextualSpacing/>
    </w:pPr>
  </w:style>
  <w:style w:type="paragraph" w:styleId="ListContinue2">
    <w:name w:val="List Continue 2"/>
    <w:basedOn w:val="Normal"/>
    <w:uiPriority w:val="99"/>
    <w:semiHidden/>
    <w:unhideWhenUsed/>
    <w:rsid w:val="00100CA2"/>
    <w:pPr>
      <w:ind w:left="720"/>
      <w:contextualSpacing/>
    </w:pPr>
  </w:style>
  <w:style w:type="paragraph" w:styleId="ListContinue3">
    <w:name w:val="List Continue 3"/>
    <w:basedOn w:val="Normal"/>
    <w:uiPriority w:val="99"/>
    <w:semiHidden/>
    <w:unhideWhenUsed/>
    <w:qFormat/>
    <w:rsid w:val="00100CA2"/>
    <w:pPr>
      <w:ind w:left="1080"/>
      <w:contextualSpacing/>
    </w:pPr>
  </w:style>
  <w:style w:type="paragraph" w:styleId="ListContinue4">
    <w:name w:val="List Continue 4"/>
    <w:basedOn w:val="Normal"/>
    <w:uiPriority w:val="99"/>
    <w:semiHidden/>
    <w:unhideWhenUsed/>
    <w:qFormat/>
    <w:rsid w:val="00100CA2"/>
    <w:pPr>
      <w:ind w:left="1440"/>
      <w:contextualSpacing/>
    </w:pPr>
  </w:style>
  <w:style w:type="paragraph" w:styleId="ListContinue5">
    <w:name w:val="List Continue 5"/>
    <w:basedOn w:val="Normal"/>
    <w:uiPriority w:val="99"/>
    <w:semiHidden/>
    <w:unhideWhenUsed/>
    <w:qFormat/>
    <w:rsid w:val="00100CA2"/>
    <w:pPr>
      <w:ind w:left="1800"/>
      <w:contextualSpacing/>
    </w:pPr>
  </w:style>
  <w:style w:type="paragraph" w:styleId="ListNumber2">
    <w:name w:val="List Number 2"/>
    <w:basedOn w:val="Normal"/>
    <w:uiPriority w:val="99"/>
    <w:semiHidden/>
    <w:unhideWhenUsed/>
    <w:qFormat/>
    <w:rsid w:val="00100CA2"/>
    <w:pPr>
      <w:numPr>
        <w:numId w:val="7"/>
      </w:numPr>
      <w:contextualSpacing/>
    </w:pPr>
  </w:style>
  <w:style w:type="paragraph" w:styleId="ListNumber3">
    <w:name w:val="List Number 3"/>
    <w:basedOn w:val="Normal"/>
    <w:uiPriority w:val="99"/>
    <w:semiHidden/>
    <w:unhideWhenUsed/>
    <w:qFormat/>
    <w:rsid w:val="00100CA2"/>
    <w:pPr>
      <w:numPr>
        <w:numId w:val="8"/>
      </w:numPr>
      <w:contextualSpacing/>
    </w:pPr>
  </w:style>
  <w:style w:type="paragraph" w:styleId="ListNumber4">
    <w:name w:val="List Number 4"/>
    <w:basedOn w:val="Normal"/>
    <w:uiPriority w:val="99"/>
    <w:semiHidden/>
    <w:unhideWhenUsed/>
    <w:qFormat/>
    <w:rsid w:val="00100CA2"/>
    <w:pPr>
      <w:numPr>
        <w:numId w:val="9"/>
      </w:numPr>
      <w:contextualSpacing/>
    </w:pPr>
  </w:style>
  <w:style w:type="paragraph" w:styleId="ListNumber5">
    <w:name w:val="List Number 5"/>
    <w:basedOn w:val="Normal"/>
    <w:uiPriority w:val="99"/>
    <w:semiHidden/>
    <w:unhideWhenUsed/>
    <w:qFormat/>
    <w:rsid w:val="00100CA2"/>
    <w:pPr>
      <w:numPr>
        <w:numId w:val="10"/>
      </w:numPr>
      <w:contextualSpacing/>
    </w:pPr>
  </w:style>
  <w:style w:type="paragraph" w:styleId="TOCHeading">
    <w:name w:val="TOC Heading"/>
    <w:basedOn w:val="Heading1"/>
    <w:next w:val="Normal"/>
    <w:uiPriority w:val="69"/>
    <w:semiHidden/>
    <w:unhideWhenUsed/>
    <w:qFormat/>
    <w:rsid w:val="00902A07"/>
    <w:pPr>
      <w:spacing w:before="240" w:after="0" w:line="240" w:lineRule="auto"/>
      <w:jc w:val="left"/>
      <w:outlineLvl w:val="9"/>
    </w:pPr>
    <w:rPr>
      <w:rFonts w:eastAsiaTheme="majorEastAsia" w:cstheme="majorBidi"/>
      <w:b w:val="0"/>
      <w:color w:val="2F5496" w:themeColor="accent1" w:themeShade="BF"/>
    </w:rPr>
  </w:style>
  <w:style w:type="paragraph" w:styleId="TOAHeading">
    <w:name w:val="toa heading"/>
    <w:basedOn w:val="Normal"/>
    <w:next w:val="Normal"/>
    <w:uiPriority w:val="99"/>
    <w:semiHidden/>
    <w:unhideWhenUsed/>
    <w:rsid w:val="00902A07"/>
    <w:pPr>
      <w:spacing w:before="120"/>
    </w:pPr>
    <w:rPr>
      <w:rFonts w:eastAsiaTheme="majorEastAsia" w:cstheme="majorBidi"/>
      <w:b/>
      <w:bCs/>
      <w:sz w:val="24"/>
    </w:rPr>
  </w:style>
  <w:style w:type="paragraph" w:styleId="IndexHeading">
    <w:name w:val="index heading"/>
    <w:basedOn w:val="Normal"/>
    <w:next w:val="Index1"/>
    <w:uiPriority w:val="99"/>
    <w:semiHidden/>
    <w:unhideWhenUsed/>
    <w:qFormat/>
    <w:rsid w:val="00902A07"/>
    <w:rPr>
      <w:rFonts w:eastAsiaTheme="majorEastAsia" w:cstheme="majorBidi"/>
      <w:b/>
      <w:bCs/>
    </w:rPr>
  </w:style>
  <w:style w:type="paragraph" w:styleId="TableofAuthorities">
    <w:name w:val="table of authorities"/>
    <w:basedOn w:val="Normal"/>
    <w:next w:val="Normal"/>
    <w:uiPriority w:val="99"/>
    <w:semiHidden/>
    <w:unhideWhenUsed/>
    <w:rsid w:val="00902A07"/>
    <w:pPr>
      <w:spacing w:after="0"/>
      <w:ind w:left="200" w:hanging="200"/>
    </w:pPr>
  </w:style>
  <w:style w:type="table" w:customStyle="1" w:styleId="Table1">
    <w:name w:val="Table 1"/>
    <w:basedOn w:val="TableNormal"/>
    <w:uiPriority w:val="99"/>
    <w:rsid w:val="001A7565"/>
    <w:pPr>
      <w:spacing w:before="0" w:after="0"/>
      <w:jc w:val="left"/>
    </w:pPr>
    <w:rPr>
      <w:sz w:val="20"/>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style>
  <w:style w:type="table" w:customStyle="1" w:styleId="Table2">
    <w:name w:val="Table 2"/>
    <w:basedOn w:val="Table1"/>
    <w:uiPriority w:val="99"/>
    <w:rsid w:val="00FF7042"/>
    <w:tblPr>
      <w:tblInd w:w="590" w:type="dxa"/>
    </w:tblPr>
    <w:tcPr>
      <w:shd w:val="clear" w:color="auto" w:fill="auto"/>
    </w:tcPr>
  </w:style>
  <w:style w:type="table" w:customStyle="1" w:styleId="Table3">
    <w:name w:val="Table 3"/>
    <w:basedOn w:val="Table2"/>
    <w:uiPriority w:val="99"/>
    <w:rsid w:val="00737D58"/>
    <w:tblPr>
      <w:tblInd w:w="1066" w:type="dxa"/>
    </w:tblPr>
    <w:tcPr>
      <w:shd w:val="clear" w:color="auto" w:fill="auto"/>
    </w:tcPr>
  </w:style>
  <w:style w:type="table" w:customStyle="1" w:styleId="Table4">
    <w:name w:val="Table 4"/>
    <w:basedOn w:val="Table3"/>
    <w:uiPriority w:val="99"/>
    <w:rsid w:val="00BA0F30"/>
    <w:tblPr>
      <w:tblInd w:w="1555" w:type="dxa"/>
    </w:tblPr>
    <w:tcPr>
      <w:shd w:val="clear" w:color="auto" w:fill="auto"/>
    </w:tcPr>
  </w:style>
  <w:style w:type="table" w:customStyle="1" w:styleId="Table5">
    <w:name w:val="Table 5"/>
    <w:basedOn w:val="Table4"/>
    <w:uiPriority w:val="99"/>
    <w:rsid w:val="0036103E"/>
    <w:tblPr>
      <w:tblInd w:w="2030" w:type="dxa"/>
    </w:tblPr>
    <w:tcPr>
      <w:shd w:val="clear" w:color="auto" w:fill="auto"/>
    </w:tcPr>
  </w:style>
  <w:style w:type="table" w:customStyle="1" w:styleId="Table6">
    <w:name w:val="Table 6"/>
    <w:basedOn w:val="Table5"/>
    <w:uiPriority w:val="99"/>
    <w:rsid w:val="004C60FC"/>
    <w:tblPr>
      <w:tblInd w:w="2506" w:type="dxa"/>
      <w:tblCellMar>
        <w:left w:w="115" w:type="dxa"/>
        <w:right w:w="115" w:type="dxa"/>
      </w:tblCellMar>
    </w:tblPr>
    <w:tcPr>
      <w:shd w:val="clear" w:color="auto" w:fill="auto"/>
    </w:tcPr>
  </w:style>
  <w:style w:type="table" w:customStyle="1" w:styleId="Table7">
    <w:name w:val="Table 7"/>
    <w:basedOn w:val="Table6"/>
    <w:uiPriority w:val="99"/>
    <w:rsid w:val="00CF74FE"/>
    <w:tblPr>
      <w:tblInd w:w="2995" w:type="dxa"/>
    </w:tblPr>
    <w:tcPr>
      <w:shd w:val="clear" w:color="auto" w:fill="auto"/>
    </w:tcPr>
  </w:style>
  <w:style w:type="table" w:customStyle="1" w:styleId="Table8">
    <w:name w:val="Table 8"/>
    <w:basedOn w:val="Table7"/>
    <w:uiPriority w:val="99"/>
    <w:rsid w:val="00997D81"/>
    <w:tblPr>
      <w:tblInd w:w="3470" w:type="dxa"/>
    </w:tblPr>
    <w:tcPr>
      <w:shd w:val="clear" w:color="auto" w:fill="auto"/>
    </w:tcPr>
  </w:style>
  <w:style w:type="table" w:customStyle="1" w:styleId="Table9">
    <w:name w:val="Table 9"/>
    <w:basedOn w:val="Table8"/>
    <w:uiPriority w:val="99"/>
    <w:rsid w:val="006E0BA6"/>
    <w:tblPr>
      <w:tblInd w:w="3946" w:type="dxa"/>
    </w:tblPr>
    <w:tcPr>
      <w:shd w:val="clear" w:color="auto" w:fill="auto"/>
    </w:tcPr>
  </w:style>
  <w:style w:type="table" w:customStyle="1" w:styleId="TableNoRule1">
    <w:name w:val="Table NoRule 1"/>
    <w:basedOn w:val="TableNormal"/>
    <w:uiPriority w:val="99"/>
    <w:rsid w:val="00FF7042"/>
    <w:pPr>
      <w:spacing w:before="0" w:after="0"/>
      <w:jc w:val="left"/>
    </w:pPr>
    <w:tblPr>
      <w:tblCellMar>
        <w:left w:w="0" w:type="dxa"/>
        <w:right w:w="0" w:type="dxa"/>
      </w:tblCellMar>
    </w:tblPr>
    <w:tcPr>
      <w:shd w:val="clear" w:color="auto" w:fill="auto"/>
    </w:tcPr>
  </w:style>
  <w:style w:type="table" w:customStyle="1" w:styleId="TableNoRule2">
    <w:name w:val="Table NoRule 2"/>
    <w:basedOn w:val="TableNoRule1"/>
    <w:uiPriority w:val="99"/>
    <w:rsid w:val="00FF7042"/>
    <w:tblPr>
      <w:tblInd w:w="475" w:type="dxa"/>
    </w:tblPr>
    <w:tcPr>
      <w:shd w:val="clear" w:color="auto" w:fill="auto"/>
    </w:tcPr>
  </w:style>
  <w:style w:type="table" w:customStyle="1" w:styleId="TableNoRule3">
    <w:name w:val="Table NoRule 3"/>
    <w:basedOn w:val="TableNoRule2"/>
    <w:uiPriority w:val="99"/>
    <w:rsid w:val="00737D58"/>
    <w:tblPr>
      <w:tblInd w:w="950" w:type="dxa"/>
    </w:tblPr>
    <w:tcPr>
      <w:shd w:val="clear" w:color="auto" w:fill="auto"/>
    </w:tcPr>
  </w:style>
  <w:style w:type="table" w:customStyle="1" w:styleId="TableNoRule4">
    <w:name w:val="Table NoRule 4"/>
    <w:basedOn w:val="TableNoRule3"/>
    <w:uiPriority w:val="99"/>
    <w:rsid w:val="002C08D8"/>
    <w:tblPr>
      <w:tblInd w:w="1440" w:type="dxa"/>
    </w:tblPr>
    <w:tcPr>
      <w:shd w:val="clear" w:color="auto" w:fill="auto"/>
    </w:tcPr>
  </w:style>
  <w:style w:type="table" w:customStyle="1" w:styleId="TableNoRule5">
    <w:name w:val="Table NoRule 5"/>
    <w:basedOn w:val="TableNoRule4"/>
    <w:uiPriority w:val="99"/>
    <w:rsid w:val="0036103E"/>
    <w:tblPr>
      <w:tblInd w:w="1915" w:type="dxa"/>
    </w:tblPr>
    <w:tcPr>
      <w:shd w:val="clear" w:color="auto" w:fill="auto"/>
    </w:tcPr>
  </w:style>
  <w:style w:type="table" w:customStyle="1" w:styleId="TableNoRule6">
    <w:name w:val="Table NoRule 6"/>
    <w:basedOn w:val="TableNoRule5"/>
    <w:uiPriority w:val="99"/>
    <w:rsid w:val="00CF7A5D"/>
    <w:tblPr>
      <w:tblInd w:w="2390" w:type="dxa"/>
    </w:tblPr>
    <w:tcPr>
      <w:shd w:val="clear" w:color="auto" w:fill="auto"/>
    </w:tcPr>
  </w:style>
  <w:style w:type="table" w:customStyle="1" w:styleId="TableNoRule7">
    <w:name w:val="Table NoRule 7"/>
    <w:basedOn w:val="TableNoRule6"/>
    <w:uiPriority w:val="99"/>
    <w:rsid w:val="00DC683F"/>
    <w:tblPr>
      <w:tblInd w:w="2880" w:type="dxa"/>
    </w:tblPr>
    <w:tcPr>
      <w:shd w:val="clear" w:color="auto" w:fill="auto"/>
    </w:tcPr>
  </w:style>
  <w:style w:type="table" w:customStyle="1" w:styleId="TableNoRule8">
    <w:name w:val="Table NoRule 8"/>
    <w:basedOn w:val="TableNoRule7"/>
    <w:uiPriority w:val="99"/>
    <w:rsid w:val="00343DED"/>
    <w:tblPr>
      <w:tblInd w:w="3355" w:type="dxa"/>
    </w:tblPr>
    <w:tcPr>
      <w:shd w:val="clear" w:color="auto" w:fill="auto"/>
    </w:tcPr>
  </w:style>
  <w:style w:type="table" w:customStyle="1" w:styleId="TableNoRule9">
    <w:name w:val="Table NoRule 9"/>
    <w:basedOn w:val="TableNoRule8"/>
    <w:uiPriority w:val="99"/>
    <w:rsid w:val="006E0BA6"/>
    <w:tblPr>
      <w:tblInd w:w="3830" w:type="dxa"/>
    </w:tblPr>
    <w:tcPr>
      <w:shd w:val="clear" w:color="auto" w:fill="auto"/>
    </w:tcPr>
  </w:style>
  <w:style w:type="paragraph" w:customStyle="1" w:styleId="PageBreakB4Table">
    <w:name w:val="PageBreakB4Table"/>
    <w:basedOn w:val="Normal"/>
    <w:qFormat/>
    <w:rsid w:val="008C7D17"/>
    <w:pPr>
      <w:spacing w:before="0" w:after="0"/>
    </w:pPr>
    <w:rPr>
      <w:rFonts w:ascii="Cambria Math" w:hAnsi="Cambria Math"/>
      <w:sz w:val="6"/>
    </w:rPr>
  </w:style>
  <w:style w:type="paragraph" w:customStyle="1" w:styleId="ImageCaptionBelowLeft">
    <w:name w:val="Image Caption Below Left"/>
    <w:basedOn w:val="Block1"/>
    <w:next w:val="Block1"/>
    <w:qFormat/>
    <w:rsid w:val="009E230F"/>
    <w:pPr>
      <w:widowControl w:val="0"/>
    </w:pPr>
    <w:rPr>
      <w:b/>
    </w:rPr>
  </w:style>
  <w:style w:type="paragraph" w:customStyle="1" w:styleId="ImageAboveCaptionLeft">
    <w:name w:val="Image Above Caption Left"/>
    <w:next w:val="Block1"/>
    <w:qFormat/>
    <w:rsid w:val="005A4B16"/>
    <w:pPr>
      <w:keepNext/>
      <w:jc w:val="left"/>
    </w:pPr>
    <w:rPr>
      <w:rFonts w:ascii="Calibri" w:hAnsi="Calibri"/>
      <w:noProof/>
    </w:rPr>
  </w:style>
  <w:style w:type="paragraph" w:customStyle="1" w:styleId="ImageAboveCaptionCenter">
    <w:name w:val="Image Above Caption Center"/>
    <w:basedOn w:val="ImageAboveCaptionLeft"/>
    <w:next w:val="Block1"/>
    <w:qFormat/>
    <w:rsid w:val="00677437"/>
    <w:pPr>
      <w:jc w:val="center"/>
    </w:pPr>
  </w:style>
  <w:style w:type="paragraph" w:customStyle="1" w:styleId="ImageCaptionAboveCenter">
    <w:name w:val="Image Caption Above Center"/>
    <w:basedOn w:val="ImageCaptionAboveLeft"/>
    <w:next w:val="Block1"/>
    <w:qFormat/>
    <w:rsid w:val="00B07365"/>
    <w:pPr>
      <w:jc w:val="center"/>
    </w:pPr>
  </w:style>
  <w:style w:type="paragraph" w:customStyle="1" w:styleId="ImageCaptionAboveRight">
    <w:name w:val="Image Caption Above Right"/>
    <w:basedOn w:val="ImageCaptionAboveLeft"/>
    <w:next w:val="Block1"/>
    <w:qFormat/>
    <w:rsid w:val="00B07365"/>
    <w:pPr>
      <w:jc w:val="right"/>
    </w:pPr>
  </w:style>
  <w:style w:type="paragraph" w:customStyle="1" w:styleId="ImageAboveCaptionRight">
    <w:name w:val="Image Above Caption Right"/>
    <w:basedOn w:val="ImageAboveCaptionLeft"/>
    <w:qFormat/>
    <w:rsid w:val="00677437"/>
    <w:pPr>
      <w:jc w:val="right"/>
    </w:pPr>
  </w:style>
</w:styles>
</file>

<file path=word/_rels/document.xml.rels><?xml version="1.0" encoding="UTF-8" standalone="yes"?><Relationships xmlns="http://schemas.openxmlformats.org/package/2006/relationships"><Relationship Id="rId1" Target="settings.xml" Type="http://schemas.openxmlformats.org/officeDocument/2006/relationships/settings"/><Relationship Id="rId2" Target="numbering.xml" Type="http://schemas.openxmlformats.org/officeDocument/2006/relationships/numbering"/><Relationship Id="rId3" Target="styles.xml" Type="http://schemas.openxmlformats.org/officeDocument/2006/relationships/styles"/><Relationship Id="rId4" Target="header1.xml" Type="http://schemas.openxmlformats.org/officeDocument/2006/relationships/header"/><Relationship Id="rId5" Target="footer1.xml" Type="http://schemas.openxmlformats.org/officeDocument/2006/relationships/footer"/><Relationship Id="rId6" Target="footnotes.xml" Type="http://schemas.openxmlformats.org/officeDocument/2006/relationships/footnotes"/></Relationships>
</file>

<file path=docProps/app.xml><?xml version="1.0" encoding="utf-8"?>
<Properties xmlns="http://schemas.openxmlformats.org/officeDocument/2006/extended-properties">
  <Application>© 2024 Municode</Applicat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2024-10-30T19:01:24Z</dcterms:created>
  <dc:creator>Municode</dc:creator>
</cp:coreProperties>
</file>